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A9AF" w14:textId="2AC473AA" w:rsidR="00803A60" w:rsidRDefault="00803A60" w:rsidP="00803A60">
      <w:pPr>
        <w:spacing w:after="480"/>
      </w:pPr>
      <w:r>
        <w:rPr>
          <w:rFonts w:ascii="Arial Black" w:hAnsi="Arial Black"/>
          <w:noProof/>
          <w:color w:val="999999"/>
          <w:sz w:val="36"/>
          <w:szCs w:val="36"/>
          <w:lang w:eastAsia="en-GB"/>
        </w:rPr>
        <w:drawing>
          <wp:inline distT="0" distB="0" distL="0" distR="0" wp14:anchorId="24EB239C" wp14:editId="6BC1D88F">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803A60" w14:paraId="0E69ECB3" w14:textId="77777777" w:rsidTr="005724B0">
        <w:trPr>
          <w:tblHeader/>
        </w:trPr>
        <w:tc>
          <w:tcPr>
            <w:tcW w:w="3456" w:type="dxa"/>
            <w:tcBorders>
              <w:bottom w:val="single" w:sz="18" w:space="0" w:color="auto"/>
            </w:tcBorders>
          </w:tcPr>
          <w:p w14:paraId="637B7EDB" w14:textId="77777777" w:rsidR="00803A60" w:rsidRPr="00B805DB" w:rsidRDefault="00803A60" w:rsidP="005724B0">
            <w:pPr>
              <w:pStyle w:val="Heading1"/>
              <w:spacing w:after="240"/>
              <w:outlineLvl w:val="0"/>
            </w:pPr>
            <w:r>
              <w:t>Report f</w:t>
            </w:r>
            <w:r w:rsidRPr="00C869F3">
              <w:t>or:</w:t>
            </w:r>
          </w:p>
        </w:tc>
        <w:tc>
          <w:tcPr>
            <w:tcW w:w="5054" w:type="dxa"/>
            <w:tcBorders>
              <w:bottom w:val="single" w:sz="18" w:space="0" w:color="auto"/>
            </w:tcBorders>
          </w:tcPr>
          <w:p w14:paraId="13BE8110" w14:textId="77777777" w:rsidR="00803A60" w:rsidRPr="005E3A10" w:rsidRDefault="00803A60" w:rsidP="005724B0">
            <w:pPr>
              <w:pStyle w:val="Heading1"/>
              <w:outlineLvl w:val="0"/>
              <w:rPr>
                <w:szCs w:val="24"/>
              </w:rPr>
            </w:pPr>
            <w:r w:rsidRPr="005E3A10">
              <w:t>Cabinet</w:t>
            </w:r>
          </w:p>
        </w:tc>
      </w:tr>
      <w:tr w:rsidR="00803A60" w14:paraId="377EC118" w14:textId="77777777" w:rsidTr="005724B0">
        <w:tc>
          <w:tcPr>
            <w:tcW w:w="3456" w:type="dxa"/>
            <w:tcBorders>
              <w:top w:val="single" w:sz="18" w:space="0" w:color="auto"/>
            </w:tcBorders>
          </w:tcPr>
          <w:p w14:paraId="10AA571D" w14:textId="77777777" w:rsidR="00803A60" w:rsidRPr="00C13A5F" w:rsidRDefault="00803A60" w:rsidP="005724B0">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1DC9CF8" w14:textId="4517C7CB" w:rsidR="00803A60" w:rsidRPr="005E3A10" w:rsidRDefault="00803A60" w:rsidP="005724B0">
            <w:pPr>
              <w:rPr>
                <w:rFonts w:cs="Arial"/>
                <w:szCs w:val="24"/>
              </w:rPr>
            </w:pPr>
            <w:r>
              <w:rPr>
                <w:rFonts w:cs="Arial"/>
                <w:szCs w:val="24"/>
              </w:rPr>
              <w:t>17</w:t>
            </w:r>
            <w:r w:rsidRPr="00803A60">
              <w:rPr>
                <w:rFonts w:cs="Arial"/>
                <w:szCs w:val="24"/>
                <w:vertAlign w:val="superscript"/>
              </w:rPr>
              <w:t>th</w:t>
            </w:r>
            <w:r>
              <w:rPr>
                <w:rFonts w:cs="Arial"/>
                <w:szCs w:val="24"/>
              </w:rPr>
              <w:t xml:space="preserve"> June 2021</w:t>
            </w:r>
          </w:p>
        </w:tc>
      </w:tr>
      <w:tr w:rsidR="00803A60" w14:paraId="0E5A21B4" w14:textId="77777777" w:rsidTr="005724B0">
        <w:tc>
          <w:tcPr>
            <w:tcW w:w="3456" w:type="dxa"/>
          </w:tcPr>
          <w:p w14:paraId="14C277E2" w14:textId="77777777" w:rsidR="00803A60" w:rsidRPr="00C13A5F" w:rsidRDefault="00803A60" w:rsidP="005724B0">
            <w:pPr>
              <w:pStyle w:val="Infotext"/>
              <w:spacing w:after="240"/>
              <w:rPr>
                <w:rFonts w:ascii="Arial Black" w:hAnsi="Arial Black"/>
              </w:rPr>
            </w:pPr>
            <w:r w:rsidRPr="00C13A5F">
              <w:rPr>
                <w:rFonts w:ascii="Arial Black" w:hAnsi="Arial Black" w:cs="Arial"/>
              </w:rPr>
              <w:t>Subject:</w:t>
            </w:r>
          </w:p>
        </w:tc>
        <w:tc>
          <w:tcPr>
            <w:tcW w:w="5054" w:type="dxa"/>
          </w:tcPr>
          <w:p w14:paraId="09861EC1" w14:textId="77777777" w:rsidR="00803A60" w:rsidRPr="00CA7601" w:rsidRDefault="00803A60" w:rsidP="00803A60">
            <w:pPr>
              <w:rPr>
                <w:rFonts w:cs="Arial"/>
                <w:szCs w:val="24"/>
              </w:rPr>
            </w:pPr>
            <w:r w:rsidRPr="00CA7601">
              <w:rPr>
                <w:rFonts w:cs="Arial"/>
                <w:szCs w:val="24"/>
              </w:rPr>
              <w:t xml:space="preserve">Edgware </w:t>
            </w:r>
            <w:r>
              <w:rPr>
                <w:rFonts w:cs="Arial"/>
                <w:szCs w:val="24"/>
              </w:rPr>
              <w:t>Growth Area</w:t>
            </w:r>
            <w:r w:rsidRPr="00CA7601">
              <w:rPr>
                <w:rFonts w:cs="Arial"/>
                <w:szCs w:val="24"/>
              </w:rPr>
              <w:t xml:space="preserve"> Supplementary Planning Document – </w:t>
            </w:r>
            <w:r>
              <w:rPr>
                <w:rFonts w:cs="Arial"/>
                <w:szCs w:val="24"/>
              </w:rPr>
              <w:t>consultation outcomes and amended version for adoption</w:t>
            </w:r>
          </w:p>
          <w:p w14:paraId="037DDB7E" w14:textId="77777777" w:rsidR="00803A60" w:rsidRPr="005E3A10" w:rsidRDefault="00803A60" w:rsidP="005724B0">
            <w:pPr>
              <w:rPr>
                <w:rFonts w:cs="Arial"/>
                <w:szCs w:val="24"/>
              </w:rPr>
            </w:pPr>
          </w:p>
        </w:tc>
      </w:tr>
      <w:tr w:rsidR="00803A60" w14:paraId="2EB6592A" w14:textId="77777777" w:rsidTr="005724B0">
        <w:tc>
          <w:tcPr>
            <w:tcW w:w="3456" w:type="dxa"/>
          </w:tcPr>
          <w:p w14:paraId="32CBC152" w14:textId="77777777" w:rsidR="00803A60" w:rsidRPr="00C13A5F" w:rsidRDefault="00803A60" w:rsidP="005724B0">
            <w:pPr>
              <w:pStyle w:val="Infotext"/>
              <w:spacing w:after="240"/>
              <w:rPr>
                <w:rFonts w:ascii="Arial Black" w:hAnsi="Arial Black" w:cs="Arial"/>
              </w:rPr>
            </w:pPr>
            <w:r w:rsidRPr="00C13A5F">
              <w:rPr>
                <w:rFonts w:ascii="Arial Black" w:hAnsi="Arial Black" w:cs="Arial"/>
              </w:rPr>
              <w:t>Key Decision:</w:t>
            </w:r>
          </w:p>
        </w:tc>
        <w:tc>
          <w:tcPr>
            <w:tcW w:w="5054" w:type="dxa"/>
          </w:tcPr>
          <w:p w14:paraId="0D332393" w14:textId="05ED2A81" w:rsidR="00803A60" w:rsidRPr="00141348" w:rsidRDefault="00803A60" w:rsidP="00803A60">
            <w:pPr>
              <w:pStyle w:val="Infotext"/>
              <w:rPr>
                <w:rFonts w:cs="Arial"/>
                <w:sz w:val="24"/>
                <w:szCs w:val="24"/>
              </w:rPr>
            </w:pPr>
            <w:r w:rsidRPr="0051659B">
              <w:rPr>
                <w:rFonts w:cs="Arial"/>
                <w:sz w:val="24"/>
                <w:szCs w:val="24"/>
              </w:rPr>
              <w:t xml:space="preserve">Yes - </w:t>
            </w:r>
            <w:r w:rsidRPr="00141348">
              <w:rPr>
                <w:rFonts w:cs="Arial"/>
                <w:sz w:val="24"/>
                <w:szCs w:val="24"/>
              </w:rPr>
              <w:t xml:space="preserve">affects more than one </w:t>
            </w:r>
            <w:r w:rsidR="00366908">
              <w:rPr>
                <w:rFonts w:cs="Arial"/>
                <w:sz w:val="24"/>
                <w:szCs w:val="24"/>
              </w:rPr>
              <w:t>w</w:t>
            </w:r>
            <w:r w:rsidRPr="00141348">
              <w:rPr>
                <w:rFonts w:cs="Arial"/>
                <w:sz w:val="24"/>
                <w:szCs w:val="24"/>
              </w:rPr>
              <w:t>ard (Edgware &amp; Canons)</w:t>
            </w:r>
          </w:p>
          <w:p w14:paraId="4C95ED1D" w14:textId="3D15ED08" w:rsidR="00803A60" w:rsidRPr="005E3A10" w:rsidRDefault="00803A60" w:rsidP="00803A60">
            <w:pPr>
              <w:pStyle w:val="Infotext"/>
              <w:rPr>
                <w:rFonts w:cs="Arial"/>
                <w:szCs w:val="24"/>
              </w:rPr>
            </w:pPr>
            <w:r w:rsidRPr="005E3A10">
              <w:rPr>
                <w:rFonts w:cs="Arial"/>
                <w:sz w:val="24"/>
                <w:szCs w:val="24"/>
              </w:rPr>
              <w:t xml:space="preserve"> </w:t>
            </w:r>
          </w:p>
        </w:tc>
      </w:tr>
      <w:tr w:rsidR="00803A60" w14:paraId="7B1643F7" w14:textId="77777777" w:rsidTr="005724B0">
        <w:tc>
          <w:tcPr>
            <w:tcW w:w="3456" w:type="dxa"/>
          </w:tcPr>
          <w:p w14:paraId="24875BC1" w14:textId="77777777" w:rsidR="00803A60" w:rsidRPr="00C13A5F" w:rsidRDefault="00803A60" w:rsidP="005724B0">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5C623402" w14:textId="3314AC43" w:rsidR="00803A60" w:rsidRPr="00CA7601" w:rsidRDefault="00803A60" w:rsidP="00803A60">
            <w:pPr>
              <w:pStyle w:val="Infotext"/>
              <w:rPr>
                <w:rFonts w:cs="Arial"/>
                <w:sz w:val="24"/>
                <w:szCs w:val="24"/>
              </w:rPr>
            </w:pPr>
            <w:r>
              <w:rPr>
                <w:rFonts w:cs="Arial"/>
                <w:sz w:val="24"/>
                <w:szCs w:val="24"/>
              </w:rPr>
              <w:t>Mark Billington</w:t>
            </w:r>
            <w:r w:rsidRPr="00CA7601">
              <w:rPr>
                <w:rFonts w:cs="Arial"/>
                <w:sz w:val="24"/>
                <w:szCs w:val="24"/>
              </w:rPr>
              <w:t xml:space="preserve">, </w:t>
            </w:r>
            <w:r w:rsidR="00366908">
              <w:rPr>
                <w:rFonts w:cs="Arial"/>
                <w:sz w:val="24"/>
                <w:szCs w:val="24"/>
              </w:rPr>
              <w:t>Acting</w:t>
            </w:r>
            <w:r>
              <w:rPr>
                <w:rFonts w:cs="Arial"/>
                <w:sz w:val="24"/>
                <w:szCs w:val="24"/>
              </w:rPr>
              <w:t xml:space="preserve"> </w:t>
            </w:r>
            <w:r w:rsidRPr="00CA7601">
              <w:rPr>
                <w:rFonts w:cs="Arial"/>
                <w:sz w:val="24"/>
                <w:szCs w:val="24"/>
              </w:rPr>
              <w:t>Corporate Director, Community</w:t>
            </w:r>
          </w:p>
          <w:p w14:paraId="299959C9" w14:textId="77777777" w:rsidR="00803A60" w:rsidRPr="005E3A10" w:rsidRDefault="00803A60" w:rsidP="005724B0">
            <w:pPr>
              <w:pStyle w:val="Infotext"/>
              <w:rPr>
                <w:rFonts w:cs="Arial"/>
                <w:sz w:val="24"/>
                <w:szCs w:val="24"/>
              </w:rPr>
            </w:pPr>
          </w:p>
        </w:tc>
      </w:tr>
      <w:tr w:rsidR="00803A60" w14:paraId="51FB2A88" w14:textId="77777777" w:rsidTr="005724B0">
        <w:tc>
          <w:tcPr>
            <w:tcW w:w="3456" w:type="dxa"/>
          </w:tcPr>
          <w:p w14:paraId="203A53AB" w14:textId="77777777" w:rsidR="00803A60" w:rsidRPr="00C13A5F" w:rsidRDefault="00803A60" w:rsidP="005724B0">
            <w:pPr>
              <w:pStyle w:val="Infotext"/>
              <w:spacing w:after="240"/>
              <w:rPr>
                <w:rFonts w:ascii="Arial Black" w:hAnsi="Arial Black"/>
              </w:rPr>
            </w:pPr>
            <w:r w:rsidRPr="00DB6C3D">
              <w:rPr>
                <w:rFonts w:ascii="Arial Black" w:hAnsi="Arial Black"/>
              </w:rPr>
              <w:t>Portfolio Holder:</w:t>
            </w:r>
          </w:p>
        </w:tc>
        <w:tc>
          <w:tcPr>
            <w:tcW w:w="5054" w:type="dxa"/>
          </w:tcPr>
          <w:p w14:paraId="18AA968B" w14:textId="77777777" w:rsidR="00803A60" w:rsidRDefault="00803A60" w:rsidP="00803A60">
            <w:pPr>
              <w:pStyle w:val="Infotext"/>
              <w:rPr>
                <w:rFonts w:cs="Arial"/>
                <w:sz w:val="24"/>
                <w:szCs w:val="24"/>
              </w:rPr>
            </w:pPr>
            <w:r>
              <w:rPr>
                <w:rFonts w:cs="Arial"/>
                <w:sz w:val="24"/>
                <w:szCs w:val="24"/>
              </w:rPr>
              <w:t>Cllr Graham Henson, Leader of the Council, and Strategy, Regeneration, Partnerships and Devolution Portfolio Holder</w:t>
            </w:r>
          </w:p>
          <w:p w14:paraId="737105DF" w14:textId="3A6D92EE" w:rsidR="00803A60" w:rsidRPr="005E3A10" w:rsidRDefault="00803A60" w:rsidP="005724B0">
            <w:pPr>
              <w:pStyle w:val="Infotext"/>
              <w:rPr>
                <w:rFonts w:cs="Arial"/>
                <w:color w:val="FF0000"/>
                <w:sz w:val="24"/>
                <w:szCs w:val="24"/>
              </w:rPr>
            </w:pPr>
          </w:p>
        </w:tc>
      </w:tr>
      <w:tr w:rsidR="00803A60" w14:paraId="3C20B812" w14:textId="77777777" w:rsidTr="005724B0">
        <w:tc>
          <w:tcPr>
            <w:tcW w:w="3456" w:type="dxa"/>
          </w:tcPr>
          <w:p w14:paraId="2B9B7A40" w14:textId="77777777" w:rsidR="00803A60" w:rsidRPr="00C13A5F" w:rsidRDefault="00803A60" w:rsidP="005724B0">
            <w:pPr>
              <w:pStyle w:val="Infotext"/>
              <w:spacing w:after="240"/>
              <w:rPr>
                <w:rFonts w:ascii="Arial Black" w:hAnsi="Arial Black"/>
              </w:rPr>
            </w:pPr>
            <w:r w:rsidRPr="00DB6C3D">
              <w:rPr>
                <w:rFonts w:ascii="Arial Black" w:hAnsi="Arial Black"/>
              </w:rPr>
              <w:t>Exempt:</w:t>
            </w:r>
          </w:p>
        </w:tc>
        <w:tc>
          <w:tcPr>
            <w:tcW w:w="5054" w:type="dxa"/>
          </w:tcPr>
          <w:p w14:paraId="06ADB0BC" w14:textId="635E236B" w:rsidR="00803A60" w:rsidRPr="005E3A10" w:rsidRDefault="00803A60" w:rsidP="005724B0">
            <w:pPr>
              <w:pStyle w:val="Infotext"/>
              <w:rPr>
                <w:rFonts w:cs="Arial"/>
                <w:sz w:val="24"/>
                <w:szCs w:val="24"/>
              </w:rPr>
            </w:pPr>
            <w:r w:rsidRPr="005E3A10">
              <w:rPr>
                <w:rFonts w:cs="Arial"/>
                <w:sz w:val="24"/>
                <w:szCs w:val="24"/>
              </w:rPr>
              <w:t>No</w:t>
            </w:r>
          </w:p>
          <w:p w14:paraId="6FE8415E" w14:textId="77777777" w:rsidR="00803A60" w:rsidRPr="005E3A10" w:rsidRDefault="00803A60" w:rsidP="00803A60">
            <w:pPr>
              <w:pStyle w:val="Infotext"/>
              <w:rPr>
                <w:rFonts w:cs="Arial"/>
                <w:color w:val="FF0000"/>
                <w:sz w:val="24"/>
                <w:szCs w:val="24"/>
              </w:rPr>
            </w:pPr>
          </w:p>
        </w:tc>
      </w:tr>
      <w:tr w:rsidR="00803A60" w14:paraId="2AF03D2C" w14:textId="77777777" w:rsidTr="005724B0">
        <w:tc>
          <w:tcPr>
            <w:tcW w:w="3456" w:type="dxa"/>
          </w:tcPr>
          <w:p w14:paraId="4E426D5E" w14:textId="77777777" w:rsidR="00803A60" w:rsidRPr="00C13A5F" w:rsidRDefault="00803A60" w:rsidP="005724B0">
            <w:pPr>
              <w:pStyle w:val="Infotext"/>
              <w:spacing w:after="240"/>
              <w:rPr>
                <w:rFonts w:ascii="Arial Black" w:hAnsi="Arial Black"/>
              </w:rPr>
            </w:pPr>
            <w:r w:rsidRPr="00DB6C3D">
              <w:rPr>
                <w:rFonts w:ascii="Arial Black" w:hAnsi="Arial Black"/>
              </w:rPr>
              <w:t>Decision subject to Call-in:</w:t>
            </w:r>
          </w:p>
        </w:tc>
        <w:tc>
          <w:tcPr>
            <w:tcW w:w="5054" w:type="dxa"/>
          </w:tcPr>
          <w:p w14:paraId="0F9D91D4" w14:textId="2A9EB3F6" w:rsidR="00803A60" w:rsidRPr="005E3A10" w:rsidRDefault="00803A60" w:rsidP="00803A60">
            <w:pPr>
              <w:pStyle w:val="Infotext"/>
              <w:rPr>
                <w:rFonts w:cs="Arial"/>
                <w:szCs w:val="24"/>
              </w:rPr>
            </w:pPr>
            <w:r w:rsidRPr="005E3A10">
              <w:rPr>
                <w:rFonts w:cs="Arial"/>
                <w:sz w:val="24"/>
                <w:szCs w:val="24"/>
              </w:rPr>
              <w:t xml:space="preserve">Yes </w:t>
            </w:r>
          </w:p>
        </w:tc>
      </w:tr>
      <w:tr w:rsidR="00803A60" w14:paraId="3AC2752B" w14:textId="77777777" w:rsidTr="005724B0">
        <w:tc>
          <w:tcPr>
            <w:tcW w:w="3456" w:type="dxa"/>
          </w:tcPr>
          <w:p w14:paraId="5D677B94" w14:textId="77777777" w:rsidR="00803A60" w:rsidRPr="00C13A5F" w:rsidRDefault="00803A60" w:rsidP="005724B0">
            <w:pPr>
              <w:pStyle w:val="Infotext"/>
              <w:spacing w:after="240"/>
              <w:rPr>
                <w:rFonts w:ascii="Arial Black" w:hAnsi="Arial Black" w:cs="Arial"/>
              </w:rPr>
            </w:pPr>
            <w:r>
              <w:rPr>
                <w:rFonts w:ascii="Arial Black" w:hAnsi="Arial Black" w:cs="Arial"/>
              </w:rPr>
              <w:t>Wards affected:</w:t>
            </w:r>
          </w:p>
        </w:tc>
        <w:tc>
          <w:tcPr>
            <w:tcW w:w="5054" w:type="dxa"/>
          </w:tcPr>
          <w:p w14:paraId="2B356723" w14:textId="3E13EA44" w:rsidR="00803A60" w:rsidRPr="00307F76" w:rsidRDefault="00803A60" w:rsidP="005724B0">
            <w:pPr>
              <w:rPr>
                <w:rFonts w:cs="Arial"/>
                <w:b/>
                <w:color w:val="FF0000"/>
                <w:szCs w:val="24"/>
              </w:rPr>
            </w:pPr>
            <w:r>
              <w:rPr>
                <w:rFonts w:cs="Arial"/>
                <w:szCs w:val="24"/>
              </w:rPr>
              <w:t>Edgware and Canons</w:t>
            </w:r>
          </w:p>
        </w:tc>
      </w:tr>
      <w:tr w:rsidR="00803A60" w14:paraId="6C2E50C7" w14:textId="77777777" w:rsidTr="005724B0">
        <w:trPr>
          <w:trHeight w:val="53"/>
        </w:trPr>
        <w:tc>
          <w:tcPr>
            <w:tcW w:w="3456" w:type="dxa"/>
          </w:tcPr>
          <w:p w14:paraId="5115C916" w14:textId="77777777" w:rsidR="00803A60" w:rsidRPr="00C13A5F" w:rsidRDefault="00803A60" w:rsidP="005724B0">
            <w:pPr>
              <w:pStyle w:val="Infotext"/>
              <w:spacing w:after="240"/>
              <w:rPr>
                <w:rFonts w:ascii="Arial Black" w:hAnsi="Arial Black" w:cs="Arial"/>
              </w:rPr>
            </w:pPr>
            <w:r w:rsidRPr="00C13A5F">
              <w:rPr>
                <w:rFonts w:ascii="Arial Black" w:hAnsi="Arial Black" w:cs="Arial"/>
              </w:rPr>
              <w:t>Enclosures:</w:t>
            </w:r>
          </w:p>
        </w:tc>
        <w:tc>
          <w:tcPr>
            <w:tcW w:w="5054" w:type="dxa"/>
          </w:tcPr>
          <w:p w14:paraId="6369B106" w14:textId="77777777" w:rsidR="00803A60" w:rsidRPr="00803A60" w:rsidRDefault="00803A60" w:rsidP="00803A60">
            <w:pPr>
              <w:pStyle w:val="Infotext"/>
              <w:rPr>
                <w:rFonts w:cs="Arial"/>
                <w:sz w:val="24"/>
                <w:szCs w:val="24"/>
              </w:rPr>
            </w:pPr>
            <w:r w:rsidRPr="00803A60">
              <w:rPr>
                <w:rFonts w:cs="Arial"/>
                <w:sz w:val="24"/>
                <w:szCs w:val="24"/>
              </w:rPr>
              <w:t>Appendix 1 – Consultation Statement</w:t>
            </w:r>
          </w:p>
          <w:p w14:paraId="68B92093" w14:textId="77777777" w:rsidR="00803A60" w:rsidRPr="00803A60" w:rsidRDefault="00803A60" w:rsidP="00803A60">
            <w:pPr>
              <w:pStyle w:val="Infotext"/>
              <w:rPr>
                <w:sz w:val="24"/>
                <w:szCs w:val="24"/>
              </w:rPr>
            </w:pPr>
            <w:r w:rsidRPr="00803A60">
              <w:rPr>
                <w:sz w:val="24"/>
                <w:szCs w:val="24"/>
              </w:rPr>
              <w:t>Appendix 2 – Schedule of Representations and Responses</w:t>
            </w:r>
          </w:p>
          <w:p w14:paraId="0F8E9672" w14:textId="212388BD" w:rsidR="00803A60" w:rsidRPr="005E3A10" w:rsidRDefault="00803A60" w:rsidP="00803A60">
            <w:pPr>
              <w:pStyle w:val="Infotext"/>
              <w:rPr>
                <w:color w:val="FF0000"/>
                <w:sz w:val="24"/>
                <w:szCs w:val="24"/>
              </w:rPr>
            </w:pPr>
            <w:r w:rsidRPr="00803A60">
              <w:rPr>
                <w:sz w:val="24"/>
                <w:szCs w:val="24"/>
              </w:rPr>
              <w:t>Appendix 3 – Edgware Growth Area Supplementary Planning Document – amended version for adoption</w:t>
            </w:r>
          </w:p>
        </w:tc>
      </w:tr>
    </w:tbl>
    <w:p w14:paraId="4A956FEA" w14:textId="47DDD96E" w:rsidR="00803A60" w:rsidRDefault="00803A60"/>
    <w:p w14:paraId="21C1BA04" w14:textId="77777777" w:rsidR="00333FAA" w:rsidRPr="00CA7601" w:rsidRDefault="00333FAA"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1"/>
      </w:tblGrid>
      <w:tr w:rsidR="00803A60" w14:paraId="301990AC" w14:textId="77777777" w:rsidTr="00803A60">
        <w:trPr>
          <w:trHeight w:val="684"/>
        </w:trPr>
        <w:tc>
          <w:tcPr>
            <w:tcW w:w="8191" w:type="dxa"/>
            <w:tcBorders>
              <w:top w:val="nil"/>
              <w:left w:val="nil"/>
              <w:right w:val="nil"/>
            </w:tcBorders>
          </w:tcPr>
          <w:p w14:paraId="6BF4F9A1" w14:textId="77777777" w:rsidR="00803A60" w:rsidRDefault="00803A60" w:rsidP="005724B0">
            <w:pPr>
              <w:pStyle w:val="Heading2"/>
              <w:spacing w:after="240"/>
            </w:pPr>
            <w:r w:rsidRPr="00803A60">
              <w:rPr>
                <w:rFonts w:ascii="Arial Black" w:hAnsi="Arial Black"/>
                <w:b w:val="0"/>
                <w:sz w:val="32"/>
              </w:rPr>
              <w:t>Section 1 – Summary and Recommendations</w:t>
            </w:r>
          </w:p>
        </w:tc>
      </w:tr>
      <w:tr w:rsidR="00803A60" w14:paraId="71DED407" w14:textId="77777777" w:rsidTr="00803A60">
        <w:trPr>
          <w:trHeight w:val="2191"/>
        </w:trPr>
        <w:tc>
          <w:tcPr>
            <w:tcW w:w="8191" w:type="dxa"/>
          </w:tcPr>
          <w:p w14:paraId="18503DB5" w14:textId="77777777" w:rsidR="00803A60" w:rsidRPr="00141348" w:rsidRDefault="00803A60" w:rsidP="00803A60">
            <w:pPr>
              <w:jc w:val="both"/>
            </w:pPr>
            <w:r w:rsidRPr="00141348">
              <w:t xml:space="preserve">This report documents the outcomes of consultation on the draft Supplementary Planning Document (SPD) for the Edgware </w:t>
            </w:r>
            <w:r>
              <w:t>Growth Area</w:t>
            </w:r>
            <w:r w:rsidRPr="00141348">
              <w:t xml:space="preserve"> (11</w:t>
            </w:r>
            <w:r w:rsidRPr="00141348">
              <w:rPr>
                <w:vertAlign w:val="superscript"/>
              </w:rPr>
              <w:t>th</w:t>
            </w:r>
            <w:r w:rsidRPr="00141348">
              <w:t xml:space="preserve"> January 2021 to 22</w:t>
            </w:r>
            <w:r w:rsidRPr="00141348">
              <w:rPr>
                <w:vertAlign w:val="superscript"/>
              </w:rPr>
              <w:t>nd</w:t>
            </w:r>
            <w:r w:rsidRPr="00141348">
              <w:t xml:space="preserve"> February 2021), a joint document </w:t>
            </w:r>
            <w:r>
              <w:t>between</w:t>
            </w:r>
            <w:r w:rsidRPr="00141348">
              <w:t xml:space="preserve"> the London Borough of Barnet (as lead borough / author) and the London Borough of Harrow. This report </w:t>
            </w:r>
            <w:r>
              <w:t xml:space="preserve">outlines </w:t>
            </w:r>
            <w:r w:rsidRPr="00141348">
              <w:t xml:space="preserve">the responses from the two Local Planning Authorities to </w:t>
            </w:r>
            <w:r>
              <w:t>the consultation outcomes</w:t>
            </w:r>
            <w:r w:rsidRPr="00141348">
              <w:t xml:space="preserve">, and recommends Cabinet </w:t>
            </w:r>
            <w:r>
              <w:t xml:space="preserve">that </w:t>
            </w:r>
            <w:r w:rsidRPr="00141348">
              <w:t xml:space="preserve">adopts the SPD, subject to </w:t>
            </w:r>
            <w:proofErr w:type="gramStart"/>
            <w:r w:rsidRPr="00141348">
              <w:t>a number of</w:t>
            </w:r>
            <w:proofErr w:type="gramEnd"/>
            <w:r w:rsidRPr="00141348">
              <w:t xml:space="preserve"> amendments in response to the outcomes of the consultation. </w:t>
            </w:r>
          </w:p>
          <w:p w14:paraId="595BF88F" w14:textId="77777777" w:rsidR="00803A60" w:rsidRPr="00141348" w:rsidRDefault="00803A60" w:rsidP="00803A60">
            <w:pPr>
              <w:jc w:val="both"/>
            </w:pPr>
          </w:p>
          <w:p w14:paraId="385B5B71" w14:textId="77777777" w:rsidR="00803A60" w:rsidRPr="00141348" w:rsidRDefault="00803A60" w:rsidP="00803A60">
            <w:pPr>
              <w:jc w:val="both"/>
            </w:pPr>
            <w:r w:rsidRPr="00141348">
              <w:t xml:space="preserve">The purpose of the SPD </w:t>
            </w:r>
            <w:r>
              <w:t xml:space="preserve">is to </w:t>
            </w:r>
            <w:r w:rsidRPr="00141348">
              <w:t xml:space="preserve">set out expectations for the </w:t>
            </w:r>
            <w:r>
              <w:t xml:space="preserve">Edgware </w:t>
            </w:r>
            <w:r w:rsidRPr="00141348">
              <w:t xml:space="preserve">Town Centre, in terms of regeneration and development, such as improvements to public realm, night-time economy and leisure, highways, and the provision of new housing and infrastructure. </w:t>
            </w:r>
            <w:r>
              <w:t>Its content provides detail to policies in the London Plan, and Barnet and Harrow Local Plans.</w:t>
            </w:r>
          </w:p>
          <w:p w14:paraId="0585B1A0" w14:textId="77777777" w:rsidR="00803A60" w:rsidRDefault="00803A60" w:rsidP="00803A60">
            <w:pPr>
              <w:pStyle w:val="Heading2"/>
            </w:pPr>
          </w:p>
          <w:p w14:paraId="6E370BD4" w14:textId="7033926F" w:rsidR="00803A60" w:rsidRPr="00CA7601" w:rsidRDefault="00803A60" w:rsidP="00803A60">
            <w:pPr>
              <w:pStyle w:val="Heading2"/>
            </w:pPr>
            <w:r w:rsidRPr="00CA7601">
              <w:t xml:space="preserve">Recommendations: </w:t>
            </w:r>
          </w:p>
          <w:p w14:paraId="50CDBA8D" w14:textId="77777777" w:rsidR="00803A60" w:rsidRPr="00CA7601" w:rsidRDefault="00803A60" w:rsidP="00803A60">
            <w:pPr>
              <w:jc w:val="both"/>
            </w:pPr>
            <w:r w:rsidRPr="00CA7601">
              <w:t>Cabinet is requested to:</w:t>
            </w:r>
          </w:p>
          <w:p w14:paraId="7F7A9AD8" w14:textId="77777777" w:rsidR="00803A60" w:rsidRDefault="00803A60" w:rsidP="00803A60">
            <w:pPr>
              <w:jc w:val="both"/>
            </w:pPr>
          </w:p>
          <w:p w14:paraId="1D9358B1" w14:textId="77777777" w:rsidR="00803A60" w:rsidRPr="00007F63" w:rsidRDefault="00803A60" w:rsidP="00803A60">
            <w:pPr>
              <w:numPr>
                <w:ilvl w:val="0"/>
                <w:numId w:val="11"/>
              </w:numPr>
              <w:jc w:val="both"/>
            </w:pPr>
            <w:r w:rsidRPr="00007F63">
              <w:t xml:space="preserve">Note the representations received in response to the consultation on the draft SPD and the </w:t>
            </w:r>
            <w:r>
              <w:t>Councils’</w:t>
            </w:r>
            <w:r w:rsidRPr="00007F63">
              <w:t xml:space="preserve"> responses to these set out in Appendi</w:t>
            </w:r>
            <w:r>
              <w:t>x 2</w:t>
            </w:r>
            <w:r w:rsidRPr="00007F63">
              <w:t>.</w:t>
            </w:r>
          </w:p>
          <w:p w14:paraId="38BE3A78" w14:textId="77777777" w:rsidR="00803A60" w:rsidRPr="00007F63" w:rsidRDefault="00803A60" w:rsidP="00803A60">
            <w:pPr>
              <w:jc w:val="both"/>
            </w:pPr>
          </w:p>
          <w:p w14:paraId="74D5E1F6" w14:textId="77777777" w:rsidR="00803A60" w:rsidRPr="00007F63" w:rsidRDefault="00803A60" w:rsidP="00803A60">
            <w:pPr>
              <w:numPr>
                <w:ilvl w:val="0"/>
                <w:numId w:val="11"/>
              </w:numPr>
              <w:jc w:val="both"/>
            </w:pPr>
            <w:r w:rsidRPr="00007F63">
              <w:t xml:space="preserve">Adopt the revised </w:t>
            </w:r>
            <w:r>
              <w:t>Edgware Growth Area</w:t>
            </w:r>
            <w:r w:rsidRPr="00007F63">
              <w:t xml:space="preserve"> SPD attached at Appendix </w:t>
            </w:r>
            <w:r>
              <w:t>3</w:t>
            </w:r>
            <w:r w:rsidRPr="00007F63">
              <w:t xml:space="preserve">, which responds to the </w:t>
            </w:r>
            <w:proofErr w:type="gramStart"/>
            <w:r>
              <w:t>consultations</w:t>
            </w:r>
            <w:proofErr w:type="gramEnd"/>
            <w:r>
              <w:t xml:space="preserve"> responses</w:t>
            </w:r>
            <w:r w:rsidRPr="00007F63">
              <w:t xml:space="preserve"> received.</w:t>
            </w:r>
          </w:p>
          <w:p w14:paraId="4C4A8870" w14:textId="77777777" w:rsidR="00803A60" w:rsidRPr="00007F63" w:rsidRDefault="00803A60" w:rsidP="00803A60">
            <w:pPr>
              <w:jc w:val="both"/>
            </w:pPr>
          </w:p>
          <w:p w14:paraId="62610415" w14:textId="77777777" w:rsidR="00803A60" w:rsidRPr="0026648D" w:rsidRDefault="00803A60" w:rsidP="00803A60">
            <w:pPr>
              <w:numPr>
                <w:ilvl w:val="0"/>
                <w:numId w:val="11"/>
              </w:numPr>
              <w:jc w:val="both"/>
            </w:pPr>
            <w:r w:rsidRPr="00D573D5">
              <w:t xml:space="preserve">Delegate authority to the Interim Chief Planning Officer, in consultation with the </w:t>
            </w:r>
            <w:r>
              <w:rPr>
                <w:rFonts w:cs="Arial"/>
                <w:szCs w:val="24"/>
              </w:rPr>
              <w:t>Leader of the Council, and Strategy, Regeneration, Partnerships and Devolution Portfolio Holder</w:t>
            </w:r>
            <w:r w:rsidRPr="00D573D5">
              <w:rPr>
                <w:rFonts w:cs="Arial"/>
                <w:szCs w:val="24"/>
              </w:rPr>
              <w:t xml:space="preserve"> to consider and agree to any necessary </w:t>
            </w:r>
            <w:r>
              <w:rPr>
                <w:rFonts w:cs="Arial"/>
                <w:szCs w:val="24"/>
              </w:rPr>
              <w:t xml:space="preserve">further </w:t>
            </w:r>
            <w:r w:rsidRPr="00D573D5">
              <w:rPr>
                <w:rFonts w:cs="Arial"/>
                <w:szCs w:val="24"/>
              </w:rPr>
              <w:t xml:space="preserve">amendments to the </w:t>
            </w:r>
            <w:r>
              <w:rPr>
                <w:rFonts w:cs="Arial"/>
                <w:szCs w:val="24"/>
              </w:rPr>
              <w:t>amended</w:t>
            </w:r>
            <w:r w:rsidRPr="00D573D5">
              <w:rPr>
                <w:rFonts w:cs="Arial"/>
                <w:szCs w:val="24"/>
              </w:rPr>
              <w:t xml:space="preserve"> document arising as a result of Barnet Council’s formal consideration of the </w:t>
            </w:r>
            <w:r>
              <w:rPr>
                <w:rFonts w:cs="Arial"/>
                <w:szCs w:val="24"/>
              </w:rPr>
              <w:t>amended</w:t>
            </w:r>
            <w:r w:rsidRPr="00D573D5">
              <w:rPr>
                <w:rFonts w:cs="Arial"/>
                <w:szCs w:val="24"/>
              </w:rPr>
              <w:t xml:space="preserve"> document</w:t>
            </w:r>
            <w:r>
              <w:rPr>
                <w:rFonts w:cs="Arial"/>
                <w:szCs w:val="24"/>
              </w:rPr>
              <w:t>.</w:t>
            </w:r>
          </w:p>
          <w:p w14:paraId="3EE679D6" w14:textId="77777777" w:rsidR="00803A60" w:rsidRDefault="00803A60" w:rsidP="00803A60">
            <w:pPr>
              <w:pStyle w:val="ListParagraph"/>
            </w:pPr>
          </w:p>
          <w:p w14:paraId="2ADCE946" w14:textId="77777777" w:rsidR="00803A60" w:rsidRDefault="00803A60" w:rsidP="00803A60">
            <w:pPr>
              <w:numPr>
                <w:ilvl w:val="0"/>
                <w:numId w:val="11"/>
              </w:numPr>
              <w:jc w:val="both"/>
            </w:pPr>
            <w:r w:rsidRPr="00D573D5">
              <w:t xml:space="preserve">Delegate authority to the Interim </w:t>
            </w:r>
            <w:r>
              <w:t xml:space="preserve">Chief Planning Officer </w:t>
            </w:r>
            <w:r w:rsidRPr="00D573D5">
              <w:t xml:space="preserve">following consultation with the </w:t>
            </w:r>
            <w:r>
              <w:rPr>
                <w:rFonts w:cs="Arial"/>
                <w:szCs w:val="24"/>
              </w:rPr>
              <w:t>Leader of the Council, and Strategy, Regeneration, Partnerships and Devolution Portfolio Holder</w:t>
            </w:r>
            <w:r w:rsidRPr="00D573D5">
              <w:t xml:space="preserve">, to make typographical corrections and any other necessary non-material amendments to the Edgware </w:t>
            </w:r>
            <w:r>
              <w:t>Growth Area</w:t>
            </w:r>
            <w:r w:rsidRPr="00D573D5">
              <w:t xml:space="preserve"> SPD prior to formal</w:t>
            </w:r>
            <w:bookmarkStart w:id="0" w:name="LastEdit"/>
            <w:bookmarkEnd w:id="0"/>
            <w:r w:rsidRPr="00D573D5">
              <w:t xml:space="preserve"> publication of the SPD.</w:t>
            </w:r>
          </w:p>
          <w:p w14:paraId="77EDF6CC" w14:textId="77777777" w:rsidR="00803A60" w:rsidRDefault="00803A60" w:rsidP="00803A60">
            <w:pPr>
              <w:pStyle w:val="ListParagraph"/>
            </w:pPr>
          </w:p>
          <w:p w14:paraId="7F21DE2D" w14:textId="77777777" w:rsidR="00803A60" w:rsidRPr="0026648D" w:rsidRDefault="00803A60" w:rsidP="00803A60">
            <w:pPr>
              <w:numPr>
                <w:ilvl w:val="0"/>
                <w:numId w:val="11"/>
              </w:numPr>
              <w:jc w:val="both"/>
            </w:pPr>
            <w:r w:rsidRPr="00D573D5">
              <w:t xml:space="preserve">Delegate authority to the Interim Chief Planning Officer, in consultation with the </w:t>
            </w:r>
            <w:r>
              <w:rPr>
                <w:rFonts w:cs="Arial"/>
                <w:szCs w:val="24"/>
              </w:rPr>
              <w:t>Leader of the Council, and Strategy, Regeneration, Partnerships and Devolution Portfolio Holder</w:t>
            </w:r>
            <w:r w:rsidRPr="00D573D5">
              <w:rPr>
                <w:rFonts w:cs="Arial"/>
                <w:szCs w:val="24"/>
              </w:rPr>
              <w:t xml:space="preserve"> to </w:t>
            </w:r>
            <w:r>
              <w:rPr>
                <w:rFonts w:cs="Arial"/>
                <w:szCs w:val="24"/>
              </w:rPr>
              <w:t>undertake any necessary statutory actions required for the formal adoption of the document.</w:t>
            </w:r>
          </w:p>
          <w:p w14:paraId="51555E1B" w14:textId="77777777" w:rsidR="00803A60" w:rsidRPr="00CA7601" w:rsidRDefault="00803A60" w:rsidP="00803A60">
            <w:pPr>
              <w:jc w:val="both"/>
              <w:rPr>
                <w:rFonts w:cs="Arial"/>
                <w:szCs w:val="24"/>
              </w:rPr>
            </w:pPr>
          </w:p>
          <w:p w14:paraId="53081217" w14:textId="77777777" w:rsidR="00803A60" w:rsidRPr="00CA7601" w:rsidRDefault="00803A60" w:rsidP="00803A60">
            <w:pPr>
              <w:pStyle w:val="Heading2"/>
              <w:jc w:val="both"/>
              <w:rPr>
                <w:color w:val="FF0000"/>
              </w:rPr>
            </w:pPr>
            <w:r w:rsidRPr="00CA7601">
              <w:t xml:space="preserve">Reason: (For recommendations) </w:t>
            </w:r>
          </w:p>
          <w:p w14:paraId="7240D2CE" w14:textId="3860D4E7" w:rsidR="00803A60" w:rsidRPr="00CA7601" w:rsidRDefault="00803A60" w:rsidP="00803A60">
            <w:pPr>
              <w:autoSpaceDE w:val="0"/>
              <w:autoSpaceDN w:val="0"/>
              <w:adjustRightInd w:val="0"/>
              <w:jc w:val="both"/>
            </w:pPr>
            <w:r w:rsidRPr="00D573D5">
              <w:rPr>
                <w:rFonts w:cs="Arial"/>
                <w:szCs w:val="24"/>
              </w:rPr>
              <w:t xml:space="preserve">To </w:t>
            </w:r>
            <w:r>
              <w:rPr>
                <w:rFonts w:cs="Arial"/>
                <w:szCs w:val="24"/>
              </w:rPr>
              <w:t xml:space="preserve">amend the document where appropriate to reflect the outcomes of the consultation process and to formally adopt the SPD to </w:t>
            </w:r>
            <w:r w:rsidRPr="00D573D5">
              <w:rPr>
                <w:rFonts w:cs="Arial"/>
                <w:szCs w:val="24"/>
              </w:rPr>
              <w:t xml:space="preserve">ensure that </w:t>
            </w:r>
            <w:r>
              <w:rPr>
                <w:rFonts w:cs="Arial"/>
                <w:szCs w:val="24"/>
              </w:rPr>
              <w:t xml:space="preserve">it </w:t>
            </w:r>
            <w:r w:rsidRPr="00D573D5">
              <w:rPr>
                <w:rFonts w:cs="Arial"/>
                <w:szCs w:val="24"/>
              </w:rPr>
              <w:t>is afforded weight as a material planning consideration guiding development for Edgware Town Centre</w:t>
            </w:r>
            <w:r>
              <w:rPr>
                <w:rFonts w:cs="Arial"/>
                <w:szCs w:val="24"/>
              </w:rPr>
              <w:t>.</w:t>
            </w:r>
          </w:p>
          <w:p w14:paraId="5DADDC07" w14:textId="77777777" w:rsidR="00803A60" w:rsidRDefault="00803A60" w:rsidP="005724B0"/>
        </w:tc>
      </w:tr>
      <w:tr w:rsidR="00333FAA" w:rsidRPr="00CA7601" w14:paraId="4103CC6A" w14:textId="77777777" w:rsidTr="00803A60">
        <w:trPr>
          <w:trHeight w:val="444"/>
        </w:trPr>
        <w:tc>
          <w:tcPr>
            <w:tcW w:w="8191" w:type="dxa"/>
            <w:tcBorders>
              <w:top w:val="nil"/>
              <w:left w:val="nil"/>
              <w:right w:val="nil"/>
            </w:tcBorders>
          </w:tcPr>
          <w:p w14:paraId="404F65DE" w14:textId="77777777" w:rsidR="00333FAA" w:rsidRPr="00CA7601" w:rsidRDefault="00333FAA" w:rsidP="00803A60">
            <w:pPr>
              <w:pStyle w:val="Heading1"/>
              <w:keepNext/>
            </w:pPr>
          </w:p>
        </w:tc>
      </w:tr>
    </w:tbl>
    <w:p w14:paraId="16884115" w14:textId="77777777" w:rsidR="00333FAA" w:rsidRPr="00CA7601" w:rsidRDefault="00333FAA" w:rsidP="00AC11C0">
      <w:pPr>
        <w:pStyle w:val="Heading1"/>
        <w:keepNext/>
      </w:pPr>
      <w:r w:rsidRPr="00CA7601">
        <w:t>Section 2 – Report</w:t>
      </w:r>
    </w:p>
    <w:p w14:paraId="13AB9847" w14:textId="77777777" w:rsidR="00333FAA" w:rsidRPr="00CA7601" w:rsidRDefault="00333FAA" w:rsidP="00AC11C0">
      <w:pPr>
        <w:pStyle w:val="Heading2"/>
        <w:keepNext/>
      </w:pPr>
    </w:p>
    <w:p w14:paraId="38FDA3D6" w14:textId="2B433637" w:rsidR="001C7E35" w:rsidRDefault="001C7E35" w:rsidP="00AC11C0">
      <w:pPr>
        <w:pStyle w:val="Heading2"/>
        <w:keepNext/>
      </w:pPr>
      <w:r w:rsidRPr="00CA7601">
        <w:t>Introduct</w:t>
      </w:r>
      <w:r w:rsidR="00EA6935" w:rsidRPr="00CA7601">
        <w:t>ion</w:t>
      </w:r>
    </w:p>
    <w:p w14:paraId="4C83AF9A" w14:textId="77777777" w:rsidR="00F05485" w:rsidRPr="00F05485" w:rsidRDefault="00F05485" w:rsidP="00AC11C0">
      <w:pPr>
        <w:keepNext/>
      </w:pPr>
    </w:p>
    <w:p w14:paraId="7583283C" w14:textId="4ED20B16" w:rsidR="001C7E35" w:rsidRPr="00CA7601" w:rsidRDefault="00AF1ADF" w:rsidP="001E553A">
      <w:pPr>
        <w:ind w:left="426" w:hanging="426"/>
        <w:jc w:val="both"/>
      </w:pPr>
      <w:r w:rsidRPr="00CA7601">
        <w:t>2.1</w:t>
      </w:r>
      <w:r w:rsidRPr="00CA7601">
        <w:tab/>
      </w:r>
      <w:r w:rsidR="006729BD" w:rsidRPr="00CA7601">
        <w:t xml:space="preserve">Edgware Town Centre is located across both the administrative boundaries of London Borough of Barnet and London Borough of Harrow, with </w:t>
      </w:r>
      <w:proofErr w:type="gramStart"/>
      <w:r w:rsidR="006729BD" w:rsidRPr="00CA7601">
        <w:t>the majority of</w:t>
      </w:r>
      <w:proofErr w:type="gramEnd"/>
      <w:r w:rsidR="006729BD" w:rsidRPr="00CA7601">
        <w:t xml:space="preserve"> the designated area within the London Borough of </w:t>
      </w:r>
      <w:r w:rsidR="00A627BF" w:rsidRPr="00CA7601">
        <w:t>Barnet</w:t>
      </w:r>
      <w:r w:rsidR="006729BD" w:rsidRPr="00CA7601">
        <w:t xml:space="preserve">. Edgware Town Centre is detailed within the London Plan </w:t>
      </w:r>
      <w:r w:rsidR="009316C0">
        <w:t xml:space="preserve">2021 </w:t>
      </w:r>
      <w:r w:rsidR="006729BD" w:rsidRPr="00CA7601">
        <w:t xml:space="preserve">as a Major Centre. A Major Centre generally contains over 50,000sqm of retail, leisure and service floorspace with a relatively high proportion of comparison goods relative to convenience goods. They may also have a significant employment, leisure, service and civic functions. </w:t>
      </w:r>
    </w:p>
    <w:p w14:paraId="43AB8613" w14:textId="77777777" w:rsidR="00AF1ADF" w:rsidRPr="00CA7601" w:rsidRDefault="00AF1ADF" w:rsidP="00D13FC0">
      <w:pPr>
        <w:jc w:val="both"/>
      </w:pPr>
    </w:p>
    <w:p w14:paraId="26435F8B" w14:textId="77777777" w:rsidR="00AF1ADF" w:rsidRPr="00CA7601" w:rsidRDefault="00AF1ADF" w:rsidP="004E43CE">
      <w:pPr>
        <w:pStyle w:val="ListParagraph"/>
        <w:numPr>
          <w:ilvl w:val="1"/>
          <w:numId w:val="8"/>
        </w:numPr>
        <w:ind w:left="426" w:hanging="426"/>
        <w:jc w:val="both"/>
      </w:pPr>
      <w:r w:rsidRPr="00CA7601">
        <w:t xml:space="preserve">In recognition of the regeneration potential of the Edgware Town Centre, and its highly sustainable location, London Borough of Barnet bid to the Mayor of London, through the Homebuilding Capacity Fund, to bring forward a SPD which among other things, would proactively assist in the delivery of housing. Notwithstanding the </w:t>
      </w:r>
      <w:r w:rsidR="00A627BF" w:rsidRPr="00CA7601">
        <w:t>ambition</w:t>
      </w:r>
      <w:r w:rsidRPr="00CA7601">
        <w:t xml:space="preserve"> to deliver housing within the Edgware Town Centre</w:t>
      </w:r>
      <w:r w:rsidR="00A627BF" w:rsidRPr="00CA7601">
        <w:t xml:space="preserve"> to help meet the new London Plan’s increased housing targets for both Barnet and Harrow</w:t>
      </w:r>
      <w:r w:rsidRPr="00CA7601">
        <w:t xml:space="preserve">, the SPD would also ensure that optimum use of the sites would be achieved, and deliver improvements across the town centre for the residents within and surrounding Edgware Town Centre. </w:t>
      </w:r>
    </w:p>
    <w:p w14:paraId="01B52CC5" w14:textId="77777777" w:rsidR="00AF1ADF" w:rsidRPr="00CA7601" w:rsidRDefault="00AF1ADF" w:rsidP="00D13FC0">
      <w:pPr>
        <w:pStyle w:val="ListParagraph"/>
        <w:ind w:left="360"/>
        <w:jc w:val="both"/>
      </w:pPr>
    </w:p>
    <w:p w14:paraId="1E8329CE" w14:textId="60B9B862" w:rsidR="00AF1ADF" w:rsidRPr="00CA7601" w:rsidRDefault="00AF1ADF" w:rsidP="004E43CE">
      <w:pPr>
        <w:pStyle w:val="ListParagraph"/>
        <w:numPr>
          <w:ilvl w:val="1"/>
          <w:numId w:val="8"/>
        </w:numPr>
        <w:ind w:left="426" w:hanging="426"/>
        <w:jc w:val="both"/>
      </w:pPr>
      <w:r w:rsidRPr="00CA7601">
        <w:rPr>
          <w:rFonts w:cs="Arial"/>
          <w:szCs w:val="24"/>
        </w:rPr>
        <w:t>Although it is classified as a Major Town Centre, Edgware has experienced a significant loss of major comparison goods retailers</w:t>
      </w:r>
      <w:r w:rsidR="003579A2">
        <w:rPr>
          <w:rFonts w:cs="Arial"/>
          <w:szCs w:val="24"/>
        </w:rPr>
        <w:t xml:space="preserve"> in recent years</w:t>
      </w:r>
      <w:r w:rsidRPr="00CA7601">
        <w:rPr>
          <w:rFonts w:cs="Arial"/>
          <w:szCs w:val="24"/>
        </w:rPr>
        <w:t>. The overall town centre and retail experience has declined. The main street, Station Road, is often very congested with vehicles; a situation exacerbated by the bus station access being situated in the heart of the centre, leading to conflict with pedestrians and increased levels of noise, pollution and congestion. Whitchurch Lane has become very run-down.</w:t>
      </w:r>
    </w:p>
    <w:p w14:paraId="28E78C12" w14:textId="77777777" w:rsidR="00AF1ADF" w:rsidRPr="00CA7601" w:rsidRDefault="00AF1ADF" w:rsidP="00D13FC0">
      <w:pPr>
        <w:pStyle w:val="ListParagraph"/>
        <w:ind w:left="360"/>
        <w:jc w:val="both"/>
      </w:pPr>
    </w:p>
    <w:p w14:paraId="55F55CEA" w14:textId="77777777" w:rsidR="00AF1ADF" w:rsidRPr="00CA7601" w:rsidRDefault="00AF1ADF" w:rsidP="004E43CE">
      <w:pPr>
        <w:pStyle w:val="ListParagraph"/>
        <w:numPr>
          <w:ilvl w:val="1"/>
          <w:numId w:val="8"/>
        </w:numPr>
        <w:ind w:left="426" w:hanging="426"/>
        <w:jc w:val="both"/>
      </w:pPr>
      <w:r w:rsidRPr="00CA7601">
        <w:rPr>
          <w:rFonts w:cs="Arial"/>
          <w:szCs w:val="24"/>
        </w:rPr>
        <w:t xml:space="preserve">In recent years changes to retail the retail sector have seen falling demand on high streets around the country, and Edgware has not been immune to this trend, for example with Marks and Spencer closing in the </w:t>
      </w:r>
      <w:proofErr w:type="spellStart"/>
      <w:r w:rsidRPr="00CA7601">
        <w:rPr>
          <w:rFonts w:cs="Arial"/>
          <w:szCs w:val="24"/>
        </w:rPr>
        <w:t>Broadwalk</w:t>
      </w:r>
      <w:proofErr w:type="spellEnd"/>
      <w:r w:rsidRPr="00CA7601">
        <w:rPr>
          <w:rFonts w:cs="Arial"/>
          <w:szCs w:val="24"/>
        </w:rPr>
        <w:t xml:space="preserve"> Centre in 2018. With the town centre mainly focused on retail, Edgware is currently lacking the cultural and entertainment options to draw visitors to the town centre. While there are </w:t>
      </w:r>
      <w:proofErr w:type="gramStart"/>
      <w:r w:rsidRPr="00CA7601">
        <w:rPr>
          <w:rFonts w:cs="Arial"/>
          <w:szCs w:val="24"/>
        </w:rPr>
        <w:t>a number of</w:t>
      </w:r>
      <w:proofErr w:type="gramEnd"/>
      <w:r w:rsidRPr="00CA7601">
        <w:rPr>
          <w:rFonts w:cs="Arial"/>
          <w:szCs w:val="24"/>
        </w:rPr>
        <w:t xml:space="preserve"> community services and facilities in the centre, in many cases these are not well-integrated to the urban fabric. Edgware also suffers from poor public realm and there is a lack of shared community space such as a town square, or small park</w:t>
      </w:r>
      <w:r w:rsidR="006120D4" w:rsidRPr="00CA7601">
        <w:rPr>
          <w:rFonts w:cs="Arial"/>
          <w:szCs w:val="24"/>
        </w:rPr>
        <w:t>/s</w:t>
      </w:r>
      <w:r w:rsidRPr="00CA7601">
        <w:rPr>
          <w:rFonts w:cs="Arial"/>
          <w:szCs w:val="24"/>
        </w:rPr>
        <w:t>. Furthermore, anti-social behaviour on the town centre streets has also become an issue that is detrimental to Edgware as a place to visit.</w:t>
      </w:r>
    </w:p>
    <w:p w14:paraId="40FA56B2" w14:textId="77777777" w:rsidR="00AF1ADF" w:rsidRPr="00CA7601" w:rsidRDefault="00AF1ADF" w:rsidP="00D13FC0">
      <w:pPr>
        <w:pStyle w:val="ListParagraph"/>
        <w:jc w:val="both"/>
        <w:rPr>
          <w:rFonts w:cs="Arial"/>
          <w:szCs w:val="24"/>
        </w:rPr>
      </w:pPr>
    </w:p>
    <w:p w14:paraId="5EDCD4C3" w14:textId="441B5BA7" w:rsidR="00AF1ADF" w:rsidRPr="00CA7601" w:rsidRDefault="00AF1ADF" w:rsidP="004E43CE">
      <w:pPr>
        <w:pStyle w:val="ListParagraph"/>
        <w:numPr>
          <w:ilvl w:val="1"/>
          <w:numId w:val="8"/>
        </w:numPr>
        <w:ind w:left="426" w:hanging="426"/>
        <w:jc w:val="both"/>
      </w:pPr>
      <w:r w:rsidRPr="00CA7601">
        <w:rPr>
          <w:rFonts w:cs="Arial"/>
          <w:szCs w:val="24"/>
        </w:rPr>
        <w:t>Edgware has a key role in supporting growth requirements. To achieve significantly higher housing target</w:t>
      </w:r>
      <w:r w:rsidR="006120D4" w:rsidRPr="00CA7601">
        <w:rPr>
          <w:rFonts w:cs="Arial"/>
          <w:szCs w:val="24"/>
        </w:rPr>
        <w:t>s</w:t>
      </w:r>
      <w:r w:rsidRPr="00CA7601">
        <w:rPr>
          <w:rFonts w:cs="Arial"/>
          <w:szCs w:val="24"/>
        </w:rPr>
        <w:t xml:space="preserve">, both Barnet </w:t>
      </w:r>
      <w:r w:rsidR="006120D4" w:rsidRPr="00CA7601">
        <w:rPr>
          <w:rFonts w:cs="Arial"/>
          <w:szCs w:val="24"/>
        </w:rPr>
        <w:t xml:space="preserve">and </w:t>
      </w:r>
      <w:r w:rsidRPr="00CA7601">
        <w:rPr>
          <w:rFonts w:cs="Arial"/>
          <w:szCs w:val="24"/>
        </w:rPr>
        <w:t xml:space="preserve">Harrow need to deliver </w:t>
      </w:r>
      <w:r w:rsidR="006120D4" w:rsidRPr="00CA7601">
        <w:rPr>
          <w:rFonts w:cs="Arial"/>
          <w:szCs w:val="24"/>
        </w:rPr>
        <w:t xml:space="preserve">housing </w:t>
      </w:r>
      <w:r w:rsidRPr="00CA7601">
        <w:rPr>
          <w:rFonts w:cs="Arial"/>
          <w:szCs w:val="24"/>
        </w:rPr>
        <w:t xml:space="preserve">at high densities in suitable locations that have high levels of public transport accessibility (PTAL), and where the urban context is appropriate for medium-rise and tall buildings. The SPD provides an opportunity for </w:t>
      </w:r>
      <w:r w:rsidRPr="00CA7601">
        <w:rPr>
          <w:rFonts w:cs="Arial"/>
          <w:szCs w:val="24"/>
        </w:rPr>
        <w:lastRenderedPageBreak/>
        <w:t xml:space="preserve">Edgware to reinvent itself, particularly through an improved leisure and cultural offering, along with improved public realm and more sustainable, integrated transport.  </w:t>
      </w:r>
    </w:p>
    <w:p w14:paraId="58DB1E78" w14:textId="77777777" w:rsidR="00AF1ADF" w:rsidRPr="00CA7601" w:rsidRDefault="00AF1ADF" w:rsidP="00D13FC0">
      <w:pPr>
        <w:pStyle w:val="ListParagraph"/>
        <w:jc w:val="both"/>
        <w:rPr>
          <w:rFonts w:cs="Arial"/>
          <w:szCs w:val="24"/>
        </w:rPr>
      </w:pPr>
    </w:p>
    <w:p w14:paraId="692CD56E" w14:textId="60698F6A" w:rsidR="00AF1ADF" w:rsidRPr="00B96FBE" w:rsidRDefault="00AF1ADF" w:rsidP="004E43CE">
      <w:pPr>
        <w:pStyle w:val="ListParagraph"/>
        <w:numPr>
          <w:ilvl w:val="1"/>
          <w:numId w:val="8"/>
        </w:numPr>
        <w:ind w:left="426" w:hanging="426"/>
        <w:jc w:val="both"/>
      </w:pPr>
      <w:r w:rsidRPr="00CA7601">
        <w:rPr>
          <w:rFonts w:cs="Arial"/>
          <w:szCs w:val="24"/>
        </w:rPr>
        <w:t>To achieve these aims, the (SPD) will provide</w:t>
      </w:r>
      <w:r w:rsidRPr="00B96FBE">
        <w:rPr>
          <w:rFonts w:cs="Arial"/>
          <w:szCs w:val="24"/>
        </w:rPr>
        <w:t xml:space="preserve"> Edgware town centre with more detailed planning guidance than in the either Local Plan (LB Barnet’s or LB Harrow’s), along with additional supporting evidence base.</w:t>
      </w:r>
    </w:p>
    <w:p w14:paraId="7804D61E" w14:textId="77777777" w:rsidR="006120D4" w:rsidRPr="00B96FBE" w:rsidRDefault="006120D4" w:rsidP="00D13FC0">
      <w:pPr>
        <w:pStyle w:val="ListParagraph"/>
        <w:jc w:val="both"/>
      </w:pPr>
    </w:p>
    <w:p w14:paraId="6C973215" w14:textId="77777777" w:rsidR="006120D4" w:rsidRPr="00B96FBE" w:rsidRDefault="004E5483" w:rsidP="004E43CE">
      <w:pPr>
        <w:pStyle w:val="ListParagraph"/>
        <w:numPr>
          <w:ilvl w:val="1"/>
          <w:numId w:val="8"/>
        </w:numPr>
        <w:ind w:left="426" w:hanging="426"/>
        <w:jc w:val="both"/>
      </w:pPr>
      <w:r w:rsidRPr="00B96FBE">
        <w:t>The SPD does not (cannot)</w:t>
      </w:r>
      <w:r w:rsidR="0057550B" w:rsidRPr="00B96FBE">
        <w:t xml:space="preserve"> introduce new policy, rather it provides guidance </w:t>
      </w:r>
      <w:r w:rsidR="004E67D2" w:rsidRPr="00B96FBE">
        <w:t>to adopted</w:t>
      </w:r>
      <w:r w:rsidR="0057550B" w:rsidRPr="00B96FBE">
        <w:t xml:space="preserve"> policy</w:t>
      </w:r>
      <w:r w:rsidR="004E67D2" w:rsidRPr="00B96FBE">
        <w:t>(</w:t>
      </w:r>
      <w:proofErr w:type="spellStart"/>
      <w:r w:rsidR="004E67D2" w:rsidRPr="00B96FBE">
        <w:t>ies</w:t>
      </w:r>
      <w:proofErr w:type="spellEnd"/>
      <w:r w:rsidR="004E67D2" w:rsidRPr="00B96FBE">
        <w:t>)</w:t>
      </w:r>
      <w:r w:rsidR="0057550B" w:rsidRPr="00B96FBE">
        <w:t>. Within Harrow, the Edgware Town Centre</w:t>
      </w:r>
      <w:r w:rsidR="004E67D2" w:rsidRPr="00B96FBE">
        <w:t xml:space="preserve"> (and SPD area) </w:t>
      </w:r>
      <w:r w:rsidR="0057550B" w:rsidRPr="00B96FBE">
        <w:t xml:space="preserve">is </w:t>
      </w:r>
      <w:r w:rsidR="004E67D2" w:rsidRPr="00B96FBE">
        <w:t xml:space="preserve">located </w:t>
      </w:r>
      <w:r w:rsidR="0057550B" w:rsidRPr="00B96FBE">
        <w:t xml:space="preserve">within the Edgware &amp; Burnt Oak Sub Area, as set out in the Harrow Core Strategy (2012). </w:t>
      </w:r>
      <w:r w:rsidR="004E67D2" w:rsidRPr="00B96FBE">
        <w:t>Specifically</w:t>
      </w:r>
      <w:r w:rsidR="0057550B" w:rsidRPr="00B96FBE">
        <w:t xml:space="preserve">, </w:t>
      </w:r>
      <w:r w:rsidR="004E67D2" w:rsidRPr="00B96FBE">
        <w:t xml:space="preserve">Core Strategy Policy CS8 sets out </w:t>
      </w:r>
      <w:proofErr w:type="gramStart"/>
      <w:r w:rsidR="004E67D2" w:rsidRPr="00B96FBE">
        <w:t>a number of</w:t>
      </w:r>
      <w:proofErr w:type="gramEnd"/>
      <w:r w:rsidR="004E67D2" w:rsidRPr="00B96FBE">
        <w:t xml:space="preserve"> </w:t>
      </w:r>
      <w:r w:rsidR="00752B35" w:rsidRPr="00B96FBE">
        <w:t>polices</w:t>
      </w:r>
      <w:r w:rsidR="004E67D2" w:rsidRPr="00B96FBE">
        <w:t xml:space="preserve"> (CS8A/C/D/H/I) that all promote appropriate development within the scope of the SPD area. </w:t>
      </w:r>
      <w:r w:rsidR="002A40DD" w:rsidRPr="00B96FBE">
        <w:t xml:space="preserve">These </w:t>
      </w:r>
      <w:r w:rsidR="00405A28" w:rsidRPr="00B96FBE">
        <w:t>policies</w:t>
      </w:r>
      <w:r w:rsidR="002A40DD" w:rsidRPr="00B96FBE">
        <w:t xml:space="preserve"> provide the basis on w</w:t>
      </w:r>
      <w:r w:rsidR="00FE56CF" w:rsidRPr="00B96FBE">
        <w:t>h</w:t>
      </w:r>
      <w:r w:rsidR="002A40DD" w:rsidRPr="00B96FBE">
        <w:t xml:space="preserve">ich are SPD may be </w:t>
      </w:r>
      <w:r w:rsidR="00405A28" w:rsidRPr="00B96FBE">
        <w:t>brought</w:t>
      </w:r>
      <w:r w:rsidR="002A40DD" w:rsidRPr="00B96FBE">
        <w:t xml:space="preserve"> forward, and therefore, </w:t>
      </w:r>
      <w:r w:rsidR="004E67D2" w:rsidRPr="00B96FBE">
        <w:t xml:space="preserve">the SPD will </w:t>
      </w:r>
      <w:r w:rsidR="00580C26" w:rsidRPr="00B96FBE">
        <w:t>assist in giving effect to</w:t>
      </w:r>
      <w:r w:rsidR="00752B35" w:rsidRPr="00B96FBE">
        <w:t>,</w:t>
      </w:r>
      <w:r w:rsidR="00580C26" w:rsidRPr="00B96FBE">
        <w:t xml:space="preserve"> and delivering against these polices within the area. </w:t>
      </w:r>
    </w:p>
    <w:p w14:paraId="7F695320" w14:textId="77777777" w:rsidR="00AF1ADF" w:rsidRPr="00B96FBE" w:rsidRDefault="00AF1ADF" w:rsidP="00D13FC0">
      <w:pPr>
        <w:pStyle w:val="ListParagraph"/>
        <w:jc w:val="both"/>
      </w:pPr>
    </w:p>
    <w:p w14:paraId="4C7C8F3F" w14:textId="77777777" w:rsidR="00DB5AA8" w:rsidRPr="00B96FBE" w:rsidRDefault="00DB5AA8" w:rsidP="00D13FC0">
      <w:pPr>
        <w:jc w:val="both"/>
        <w:rPr>
          <w:b/>
        </w:rPr>
      </w:pPr>
      <w:r w:rsidRPr="00B96FBE">
        <w:rPr>
          <w:b/>
        </w:rPr>
        <w:t>Consultation on the draft Edgware Town Centre SPD</w:t>
      </w:r>
    </w:p>
    <w:p w14:paraId="61904571" w14:textId="77777777" w:rsidR="00DB5AA8" w:rsidRPr="00B96FBE" w:rsidRDefault="00DB5AA8" w:rsidP="00D13FC0">
      <w:pPr>
        <w:jc w:val="both"/>
      </w:pPr>
    </w:p>
    <w:p w14:paraId="76C4ECEB" w14:textId="7CC62C5F" w:rsidR="00345D31" w:rsidRDefault="00F05F15" w:rsidP="00744375">
      <w:pPr>
        <w:ind w:left="426" w:hanging="426"/>
        <w:jc w:val="both"/>
      </w:pPr>
      <w:r>
        <w:t>3.0</w:t>
      </w:r>
      <w:r>
        <w:tab/>
      </w:r>
      <w:r w:rsidR="00345D31" w:rsidRPr="00B96FBE">
        <w:t xml:space="preserve">The </w:t>
      </w:r>
      <w:r w:rsidR="00CF3C5B" w:rsidRPr="00B96FBE">
        <w:t xml:space="preserve">preparation of the </w:t>
      </w:r>
      <w:r w:rsidR="00345D31" w:rsidRPr="00B96FBE">
        <w:t xml:space="preserve">Edgware </w:t>
      </w:r>
      <w:r w:rsidR="00744375">
        <w:t>Growth Area</w:t>
      </w:r>
      <w:r w:rsidR="00345D31" w:rsidRPr="00B96FBE">
        <w:t xml:space="preserve"> SPD </w:t>
      </w:r>
      <w:r w:rsidR="00FB139D">
        <w:t>has</w:t>
      </w:r>
      <w:r w:rsidR="00345D31" w:rsidRPr="00B96FBE">
        <w:t xml:space="preserve"> be</w:t>
      </w:r>
      <w:r w:rsidR="00633ED2">
        <w:t>en</w:t>
      </w:r>
      <w:r w:rsidR="00345D31" w:rsidRPr="00B96FBE">
        <w:t xml:space="preserve"> </w:t>
      </w:r>
      <w:r w:rsidR="00CF3C5B" w:rsidRPr="00B96FBE">
        <w:t xml:space="preserve">led </w:t>
      </w:r>
      <w:r w:rsidR="00345D31" w:rsidRPr="00B96FBE">
        <w:t>primarily by London Borough of Barnet, who are the princip</w:t>
      </w:r>
      <w:r w:rsidR="00B96014">
        <w:t>al</w:t>
      </w:r>
      <w:r w:rsidR="00345D31" w:rsidRPr="00B96FBE">
        <w:t xml:space="preserve"> author of the document</w:t>
      </w:r>
      <w:r w:rsidR="00CF3C5B" w:rsidRPr="00B96FBE">
        <w:t xml:space="preserve"> as </w:t>
      </w:r>
      <w:proofErr w:type="gramStart"/>
      <w:r w:rsidR="00CF3C5B" w:rsidRPr="00B96FBE">
        <w:t>the majority of</w:t>
      </w:r>
      <w:proofErr w:type="gramEnd"/>
      <w:r w:rsidR="00CF3C5B" w:rsidRPr="00B96FBE">
        <w:t xml:space="preserve"> the town centre area and largest landholdings / potential development sites fall within Barnet</w:t>
      </w:r>
      <w:r w:rsidR="00345D31" w:rsidRPr="00B96FBE">
        <w:t xml:space="preserve">. </w:t>
      </w:r>
      <w:r w:rsidR="00437377">
        <w:t xml:space="preserve">Furthermore, London </w:t>
      </w:r>
      <w:r w:rsidR="00753C69">
        <w:t>Borough</w:t>
      </w:r>
      <w:r w:rsidR="00437377">
        <w:t xml:space="preserve"> of Barnet were the successful bidder in obtaining grant funding fo</w:t>
      </w:r>
      <w:r w:rsidR="00753C69">
        <w:t>r</w:t>
      </w:r>
      <w:r w:rsidR="00437377">
        <w:t xml:space="preserve"> the project from</w:t>
      </w:r>
      <w:r w:rsidR="00753C69">
        <w:t xml:space="preserve"> </w:t>
      </w:r>
      <w:r w:rsidR="00437377">
        <w:t>t</w:t>
      </w:r>
      <w:r w:rsidR="00753C69">
        <w:t>he</w:t>
      </w:r>
      <w:r w:rsidR="00437377">
        <w:t xml:space="preserve"> Greater London Authority. </w:t>
      </w:r>
    </w:p>
    <w:p w14:paraId="5D1FF9FA" w14:textId="77777777" w:rsidR="00F74124" w:rsidRDefault="00F74124" w:rsidP="00F74124">
      <w:pPr>
        <w:pStyle w:val="ListParagraph"/>
        <w:ind w:left="773"/>
        <w:jc w:val="both"/>
      </w:pPr>
    </w:p>
    <w:p w14:paraId="23335B80" w14:textId="5E069B56" w:rsidR="00103344" w:rsidRDefault="00F05F15" w:rsidP="00744375">
      <w:pPr>
        <w:ind w:left="426" w:hanging="426"/>
        <w:jc w:val="both"/>
      </w:pPr>
      <w:r>
        <w:t>3.1</w:t>
      </w:r>
      <w:r>
        <w:tab/>
      </w:r>
      <w:r w:rsidR="008B15B9">
        <w:t>Cabinet considered the draft</w:t>
      </w:r>
      <w:r w:rsidR="006232E1">
        <w:t xml:space="preserve"> SPD</w:t>
      </w:r>
      <w:r w:rsidR="0003504D">
        <w:t xml:space="preserve"> at its meeting o</w:t>
      </w:r>
      <w:r w:rsidR="0003504D" w:rsidRPr="0004621F">
        <w:t xml:space="preserve">f </w:t>
      </w:r>
      <w:r w:rsidR="0004621F">
        <w:t>17</w:t>
      </w:r>
      <w:r w:rsidR="0004621F" w:rsidRPr="00F05F15">
        <w:rPr>
          <w:vertAlign w:val="superscript"/>
        </w:rPr>
        <w:t>th</w:t>
      </w:r>
      <w:r w:rsidR="0004621F">
        <w:t xml:space="preserve"> December 2020</w:t>
      </w:r>
      <w:r w:rsidR="0003504D">
        <w:t xml:space="preserve"> </w:t>
      </w:r>
      <w:r w:rsidR="000713E4">
        <w:t xml:space="preserve">and </w:t>
      </w:r>
      <w:r w:rsidR="00CC6E83">
        <w:t>gave</w:t>
      </w:r>
      <w:r w:rsidR="00C747E2">
        <w:t xml:space="preserve"> authority</w:t>
      </w:r>
      <w:r w:rsidR="0003504D">
        <w:t xml:space="preserve"> for </w:t>
      </w:r>
      <w:r w:rsidR="0004621F">
        <w:t xml:space="preserve">public </w:t>
      </w:r>
      <w:r w:rsidR="00D23508">
        <w:t>consultation</w:t>
      </w:r>
      <w:r w:rsidR="0003504D">
        <w:t xml:space="preserve">. </w:t>
      </w:r>
    </w:p>
    <w:p w14:paraId="25784142" w14:textId="77777777" w:rsidR="00713030" w:rsidRDefault="00713030" w:rsidP="00713030">
      <w:pPr>
        <w:pStyle w:val="ListParagraph"/>
      </w:pPr>
    </w:p>
    <w:p w14:paraId="073E00C7" w14:textId="4679DA7A" w:rsidR="00500FD9" w:rsidRPr="004E5A72" w:rsidRDefault="00F05F15" w:rsidP="00744375">
      <w:pPr>
        <w:ind w:left="426" w:hanging="426"/>
        <w:jc w:val="both"/>
      </w:pPr>
      <w:r>
        <w:t>3.2</w:t>
      </w:r>
      <w:r>
        <w:tab/>
      </w:r>
      <w:r w:rsidR="00534341" w:rsidRPr="004E5A72">
        <w:t>Due to the COVID19 gl</w:t>
      </w:r>
      <w:r w:rsidR="007C68C1" w:rsidRPr="004E5A72">
        <w:t>obal</w:t>
      </w:r>
      <w:r w:rsidR="00534341" w:rsidRPr="004E5A72">
        <w:t xml:space="preserve"> pandemic</w:t>
      </w:r>
      <w:r w:rsidR="00871FCC" w:rsidRPr="004E5A72">
        <w:t xml:space="preserve"> a minor amendment to the Harrow Statement of Community Involvement </w:t>
      </w:r>
      <w:r w:rsidR="00AC68E2">
        <w:t>was</w:t>
      </w:r>
      <w:r w:rsidR="00871FCC" w:rsidRPr="004E5A72">
        <w:t xml:space="preserve"> made by the Portfolio Holder for Regeneration, Planning and Enterprise (under delegated authority) to reflect that Covid-19 may mean that not all the traditional avenues for consultation will be possible due to social distancing requirements.</w:t>
      </w:r>
      <w:r w:rsidR="008C038D" w:rsidRPr="004E5A72">
        <w:t xml:space="preserve"> </w:t>
      </w:r>
      <w:r w:rsidR="006646C5" w:rsidRPr="004E5A72">
        <w:t>Specifically, face to face meetings and public meeting</w:t>
      </w:r>
      <w:r w:rsidR="00F65F50">
        <w:t>s</w:t>
      </w:r>
      <w:r w:rsidR="006646C5" w:rsidRPr="004E5A72">
        <w:t xml:space="preserve"> were unable to be held. </w:t>
      </w:r>
      <w:r w:rsidR="00F65F50">
        <w:t>In this context,</w:t>
      </w:r>
      <w:r w:rsidR="00500FD9" w:rsidRPr="004E5A72">
        <w:t xml:space="preserve"> the following consultation steps</w:t>
      </w:r>
      <w:r w:rsidR="00F65F50">
        <w:t xml:space="preserve"> were undertaken</w:t>
      </w:r>
      <w:r w:rsidR="00500FD9" w:rsidRPr="004E5A72">
        <w:t>;</w:t>
      </w:r>
    </w:p>
    <w:p w14:paraId="70B088B1" w14:textId="77777777" w:rsidR="00500FD9" w:rsidRPr="004E5A72" w:rsidRDefault="00500FD9" w:rsidP="00500FD9">
      <w:pPr>
        <w:pStyle w:val="ListParagraph"/>
      </w:pPr>
    </w:p>
    <w:p w14:paraId="0853B73A" w14:textId="044E68B9" w:rsidR="00862F56" w:rsidRPr="008D7990" w:rsidRDefault="00862F56" w:rsidP="004C7960">
      <w:pPr>
        <w:pStyle w:val="ListParagraph"/>
        <w:numPr>
          <w:ilvl w:val="0"/>
          <w:numId w:val="14"/>
        </w:numPr>
        <w:ind w:left="1134" w:hanging="425"/>
        <w:jc w:val="both"/>
      </w:pPr>
      <w:r w:rsidRPr="008D7990">
        <w:t>Emails sent to consultees on the Local Plan database, who have indicated they are interested in Planning Policy consultations</w:t>
      </w:r>
      <w:r w:rsidR="0035272E" w:rsidRPr="008D7990">
        <w:t>;</w:t>
      </w:r>
    </w:p>
    <w:p w14:paraId="513CD305" w14:textId="027F0F70" w:rsidR="00713030" w:rsidRPr="008D7990" w:rsidRDefault="0035272E" w:rsidP="004C7960">
      <w:pPr>
        <w:pStyle w:val="ListParagraph"/>
        <w:numPr>
          <w:ilvl w:val="0"/>
          <w:numId w:val="14"/>
        </w:numPr>
        <w:ind w:left="1134" w:hanging="425"/>
        <w:jc w:val="both"/>
      </w:pPr>
      <w:r w:rsidRPr="008D7990">
        <w:t xml:space="preserve">A total of 23,000 </w:t>
      </w:r>
      <w:r w:rsidR="008D28B9" w:rsidRPr="008D7990">
        <w:t>F</w:t>
      </w:r>
      <w:r w:rsidR="002C2B20" w:rsidRPr="008D7990">
        <w:t>l</w:t>
      </w:r>
      <w:r w:rsidR="008D28B9" w:rsidRPr="008D7990">
        <w:t>yers</w:t>
      </w:r>
      <w:r w:rsidR="00964D3B" w:rsidRPr="008D7990">
        <w:t xml:space="preserve"> sent to all properties </w:t>
      </w:r>
      <w:r w:rsidR="00E12339" w:rsidRPr="008D7990">
        <w:t xml:space="preserve">within </w:t>
      </w:r>
      <w:r w:rsidR="00CD358F" w:rsidRPr="008D7990">
        <w:t>1k</w:t>
      </w:r>
      <w:r w:rsidR="00FC1BD5" w:rsidRPr="008D7990">
        <w:t xml:space="preserve">m </w:t>
      </w:r>
      <w:r w:rsidR="00E12339" w:rsidRPr="008D7990">
        <w:t xml:space="preserve">of </w:t>
      </w:r>
      <w:r w:rsidR="00964D3B" w:rsidRPr="008D7990">
        <w:t>the SPD boundary</w:t>
      </w:r>
    </w:p>
    <w:p w14:paraId="4910F833" w14:textId="3F029746" w:rsidR="00964D3B" w:rsidRPr="008D7990" w:rsidRDefault="00964D3B" w:rsidP="004C7960">
      <w:pPr>
        <w:pStyle w:val="ListParagraph"/>
        <w:numPr>
          <w:ilvl w:val="0"/>
          <w:numId w:val="14"/>
        </w:numPr>
        <w:ind w:left="1134" w:hanging="425"/>
        <w:jc w:val="both"/>
      </w:pPr>
      <w:r w:rsidRPr="008D7990">
        <w:t>Two online</w:t>
      </w:r>
      <w:r w:rsidR="007D07EC" w:rsidRPr="008D7990">
        <w:t xml:space="preserve"> </w:t>
      </w:r>
      <w:r w:rsidR="00C541F3" w:rsidRPr="008D7990">
        <w:t xml:space="preserve">public </w:t>
      </w:r>
      <w:r w:rsidR="007D07EC" w:rsidRPr="008D7990">
        <w:t>presentations that inclu</w:t>
      </w:r>
      <w:r w:rsidR="00434128" w:rsidRPr="008D7990">
        <w:t xml:space="preserve">ded </w:t>
      </w:r>
      <w:r w:rsidR="00067893">
        <w:t>snap polls</w:t>
      </w:r>
      <w:r w:rsidR="00067893" w:rsidRPr="008D7990">
        <w:t xml:space="preserve"> </w:t>
      </w:r>
      <w:r w:rsidR="00434128" w:rsidRPr="008D7990">
        <w:t>/ question and answer session</w:t>
      </w:r>
      <w:r w:rsidR="00FA1BE8" w:rsidRPr="008D7990">
        <w:t xml:space="preserve"> – </w:t>
      </w:r>
      <w:r w:rsidR="00181AA3" w:rsidRPr="008D7990">
        <w:t>28</w:t>
      </w:r>
      <w:r w:rsidR="00181AA3" w:rsidRPr="008D7990">
        <w:rPr>
          <w:vertAlign w:val="superscript"/>
        </w:rPr>
        <w:t>th</w:t>
      </w:r>
      <w:r w:rsidR="00181AA3" w:rsidRPr="008D7990">
        <w:t xml:space="preserve"> Ja</w:t>
      </w:r>
      <w:r w:rsidR="009848CA" w:rsidRPr="008D7990">
        <w:t>n</w:t>
      </w:r>
      <w:r w:rsidR="00181AA3" w:rsidRPr="008D7990">
        <w:t xml:space="preserve">uary 2021 </w:t>
      </w:r>
      <w:r w:rsidR="00BE3367" w:rsidRPr="008D7990">
        <w:t xml:space="preserve">(6pm </w:t>
      </w:r>
      <w:r w:rsidR="009848CA" w:rsidRPr="008D7990">
        <w:t>–</w:t>
      </w:r>
      <w:r w:rsidR="00BE3367" w:rsidRPr="008D7990">
        <w:t xml:space="preserve"> </w:t>
      </w:r>
      <w:r w:rsidR="009848CA" w:rsidRPr="008D7990">
        <w:t xml:space="preserve">7.30pm) </w:t>
      </w:r>
      <w:r w:rsidR="00181AA3" w:rsidRPr="008D7990">
        <w:t>and 10</w:t>
      </w:r>
      <w:r w:rsidR="00181AA3" w:rsidRPr="008D7990">
        <w:rPr>
          <w:vertAlign w:val="superscript"/>
        </w:rPr>
        <w:t>th</w:t>
      </w:r>
      <w:r w:rsidR="00181AA3" w:rsidRPr="008D7990">
        <w:t xml:space="preserve"> February 2021</w:t>
      </w:r>
      <w:r w:rsidR="009848CA" w:rsidRPr="008D7990">
        <w:t xml:space="preserve"> (6pm – 7pm)</w:t>
      </w:r>
      <w:r w:rsidR="00BE3367" w:rsidRPr="008D7990">
        <w:t xml:space="preserve">; </w:t>
      </w:r>
    </w:p>
    <w:p w14:paraId="73F33F84" w14:textId="4A59FA5F" w:rsidR="00434128" w:rsidRPr="008D7990" w:rsidRDefault="001E3222" w:rsidP="004C7960">
      <w:pPr>
        <w:pStyle w:val="ListParagraph"/>
        <w:numPr>
          <w:ilvl w:val="0"/>
          <w:numId w:val="14"/>
        </w:numPr>
        <w:ind w:left="1134" w:hanging="425"/>
        <w:jc w:val="both"/>
      </w:pPr>
      <w:r w:rsidRPr="008D7990">
        <w:t xml:space="preserve">Cross borough </w:t>
      </w:r>
      <w:r w:rsidR="00434128" w:rsidRPr="008D7990">
        <w:t xml:space="preserve">Ward Councillor </w:t>
      </w:r>
      <w:r w:rsidR="007C18DA" w:rsidRPr="008D7990">
        <w:t>Workshop</w:t>
      </w:r>
      <w:r w:rsidR="00FA1BE8" w:rsidRPr="008D7990">
        <w:t xml:space="preserve"> </w:t>
      </w:r>
      <w:r w:rsidR="00FF0FBA" w:rsidRPr="008D7990">
        <w:t>–</w:t>
      </w:r>
      <w:r w:rsidR="00FA1BE8" w:rsidRPr="008D7990">
        <w:t xml:space="preserve"> </w:t>
      </w:r>
      <w:r w:rsidR="00654664" w:rsidRPr="008D7990">
        <w:t>18</w:t>
      </w:r>
      <w:r w:rsidR="00654664" w:rsidRPr="008D7990">
        <w:rPr>
          <w:vertAlign w:val="superscript"/>
        </w:rPr>
        <w:t>th</w:t>
      </w:r>
      <w:r w:rsidR="00654664" w:rsidRPr="008D7990">
        <w:t xml:space="preserve"> February 2021</w:t>
      </w:r>
    </w:p>
    <w:p w14:paraId="33C0ECD0" w14:textId="4F56228E" w:rsidR="00FF0FBA" w:rsidRPr="008D7990" w:rsidRDefault="00FF0FBA" w:rsidP="004C7960">
      <w:pPr>
        <w:pStyle w:val="ListParagraph"/>
        <w:numPr>
          <w:ilvl w:val="0"/>
          <w:numId w:val="14"/>
        </w:numPr>
        <w:ind w:left="1134" w:hanging="425"/>
        <w:jc w:val="both"/>
      </w:pPr>
      <w:r w:rsidRPr="008D7990">
        <w:t>Young people</w:t>
      </w:r>
      <w:r w:rsidR="000373C5">
        <w:t>’</w:t>
      </w:r>
      <w:r w:rsidRPr="008D7990">
        <w:t>s event (x3) – 18</w:t>
      </w:r>
      <w:r w:rsidRPr="008D7990">
        <w:rPr>
          <w:vertAlign w:val="superscript"/>
        </w:rPr>
        <w:t>th</w:t>
      </w:r>
      <w:r w:rsidRPr="008D7990">
        <w:t xml:space="preserve"> February 2021</w:t>
      </w:r>
    </w:p>
    <w:p w14:paraId="0469F31B" w14:textId="70BF8BDC" w:rsidR="00CA562F" w:rsidRPr="008D7990" w:rsidRDefault="000373C5" w:rsidP="004C7960">
      <w:pPr>
        <w:pStyle w:val="ListParagraph"/>
        <w:numPr>
          <w:ilvl w:val="0"/>
          <w:numId w:val="14"/>
        </w:numPr>
        <w:ind w:left="1134" w:hanging="425"/>
        <w:jc w:val="both"/>
      </w:pPr>
      <w:r>
        <w:t xml:space="preserve">Documents available on the </w:t>
      </w:r>
      <w:r w:rsidR="00065B70" w:rsidRPr="008D7990">
        <w:t xml:space="preserve">Harrow (and Barnet) </w:t>
      </w:r>
      <w:r w:rsidR="00CA562F" w:rsidRPr="008D7990">
        <w:t xml:space="preserve">Council website </w:t>
      </w:r>
    </w:p>
    <w:p w14:paraId="4E236C12" w14:textId="1ABD0D21" w:rsidR="003D3D38" w:rsidRPr="008D7990" w:rsidRDefault="00065B70" w:rsidP="004C7960">
      <w:pPr>
        <w:pStyle w:val="ListParagraph"/>
        <w:numPr>
          <w:ilvl w:val="0"/>
          <w:numId w:val="14"/>
        </w:numPr>
        <w:ind w:left="1134" w:hanging="425"/>
        <w:jc w:val="both"/>
      </w:pPr>
      <w:r w:rsidRPr="008D7990">
        <w:t xml:space="preserve">Harrow </w:t>
      </w:r>
      <w:r w:rsidR="00E66450" w:rsidRPr="008D7990">
        <w:t xml:space="preserve">Press notice </w:t>
      </w:r>
      <w:r w:rsidR="002A1AB7" w:rsidRPr="008D7990">
        <w:t>(</w:t>
      </w:r>
      <w:r w:rsidR="00340601" w:rsidRPr="008D7990">
        <w:t>21</w:t>
      </w:r>
      <w:r w:rsidR="00340601" w:rsidRPr="008D7990">
        <w:rPr>
          <w:vertAlign w:val="superscript"/>
        </w:rPr>
        <w:t>st</w:t>
      </w:r>
      <w:r w:rsidR="00340601" w:rsidRPr="008D7990">
        <w:t xml:space="preserve"> January 2021</w:t>
      </w:r>
      <w:r w:rsidR="00862F56" w:rsidRPr="008D7990">
        <w:t>)</w:t>
      </w:r>
    </w:p>
    <w:p w14:paraId="210DEE9B" w14:textId="77777777" w:rsidR="007923DB" w:rsidRDefault="007923DB" w:rsidP="007923DB">
      <w:pPr>
        <w:jc w:val="both"/>
      </w:pPr>
    </w:p>
    <w:p w14:paraId="44F5F456" w14:textId="5CFF9C34" w:rsidR="002E3492" w:rsidRPr="0003782D" w:rsidRDefault="00F05F15" w:rsidP="00BE2DA1">
      <w:pPr>
        <w:ind w:left="426" w:hanging="426"/>
        <w:jc w:val="both"/>
      </w:pPr>
      <w:r>
        <w:lastRenderedPageBreak/>
        <w:t>3.3</w:t>
      </w:r>
      <w:r>
        <w:tab/>
      </w:r>
      <w:r w:rsidR="002E3492" w:rsidRPr="0003782D">
        <w:t>The Council does not normally write to individual adjoining / nearby properties on strategic documents such as SPDs - this happens when a Planning Application for a development is submitted to the Council. This is because the contents of an SPD or Local Plan document can cover or affect a very large proportion of the Borough, making identifying and writing to every property that could be considered as being affected disproportionately resource intensive</w:t>
      </w:r>
      <w:r w:rsidR="00F323EF" w:rsidRPr="0003782D">
        <w:t>.</w:t>
      </w:r>
      <w:r w:rsidR="00C343C0" w:rsidRPr="0003782D">
        <w:t xml:space="preserve"> However, in this instance</w:t>
      </w:r>
      <w:r w:rsidR="00C27AC6">
        <w:t xml:space="preserve"> given the area-based nature of the SPD (rather than a specific issue / policy),</w:t>
      </w:r>
      <w:r w:rsidR="00C343C0" w:rsidRPr="0003782D">
        <w:t xml:space="preserve"> </w:t>
      </w:r>
      <w:r w:rsidR="0062569D" w:rsidRPr="0003782D">
        <w:t>letter</w:t>
      </w:r>
      <w:r w:rsidR="00615ED4">
        <w:t>s</w:t>
      </w:r>
      <w:r w:rsidR="0062569D" w:rsidRPr="0003782D">
        <w:t xml:space="preserve"> were sent to </w:t>
      </w:r>
      <w:r w:rsidR="00B23A00" w:rsidRPr="0003782D">
        <w:t>all prop</w:t>
      </w:r>
      <w:r w:rsidR="00C3030F" w:rsidRPr="0003782D">
        <w:t>er</w:t>
      </w:r>
      <w:r w:rsidR="00B23A00" w:rsidRPr="0003782D">
        <w:t xml:space="preserve">ties within the SPD area, </w:t>
      </w:r>
      <w:proofErr w:type="gramStart"/>
      <w:r w:rsidR="00B23A00" w:rsidRPr="0003782D">
        <w:t>and also</w:t>
      </w:r>
      <w:proofErr w:type="gramEnd"/>
      <w:r w:rsidR="00B23A00" w:rsidRPr="0003782D">
        <w:t xml:space="preserve"> within a 1km radius of it – both within L</w:t>
      </w:r>
      <w:r w:rsidR="003E220E" w:rsidRPr="0003782D">
        <w:t>B</w:t>
      </w:r>
      <w:r w:rsidR="00B23A00" w:rsidRPr="0003782D">
        <w:t xml:space="preserve"> Harrow and LB Barnet</w:t>
      </w:r>
    </w:p>
    <w:p w14:paraId="5DCA3F1A" w14:textId="77777777" w:rsidR="00162338" w:rsidRDefault="00162338" w:rsidP="00162338">
      <w:pPr>
        <w:pStyle w:val="ListParagraph"/>
        <w:ind w:left="773"/>
        <w:jc w:val="both"/>
      </w:pPr>
    </w:p>
    <w:p w14:paraId="49C7071F" w14:textId="5ED22585" w:rsidR="00D40D0C" w:rsidRDefault="00F05F15" w:rsidP="00BE2DA1">
      <w:pPr>
        <w:ind w:left="426" w:hanging="426"/>
        <w:jc w:val="both"/>
      </w:pPr>
      <w:r>
        <w:t>3.4</w:t>
      </w:r>
      <w:r>
        <w:tab/>
      </w:r>
      <w:r w:rsidR="00FD0A13" w:rsidRPr="00007F63">
        <w:t>The actions outlined above met and exceeded the statutory requirements for consultation on a draft SPD.</w:t>
      </w:r>
    </w:p>
    <w:p w14:paraId="73691988" w14:textId="77777777" w:rsidR="00D40D0C" w:rsidRDefault="00D40D0C" w:rsidP="00D40D0C">
      <w:pPr>
        <w:pStyle w:val="ListParagraph"/>
      </w:pPr>
    </w:p>
    <w:p w14:paraId="140B4661" w14:textId="1ADE18EA" w:rsidR="003613B5" w:rsidRPr="00B96FBE" w:rsidRDefault="00F05F15" w:rsidP="00BE2DA1">
      <w:pPr>
        <w:ind w:left="426" w:hanging="426"/>
        <w:jc w:val="both"/>
      </w:pPr>
      <w:r>
        <w:t>3.5</w:t>
      </w:r>
      <w:r>
        <w:tab/>
      </w:r>
      <w:r w:rsidR="009E10C9" w:rsidRPr="00B96FBE">
        <w:t xml:space="preserve">Given the timeframes </w:t>
      </w:r>
      <w:r w:rsidR="004C375D">
        <w:t xml:space="preserve">and joint-borough coordination </w:t>
      </w:r>
      <w:r w:rsidR="009E10C9" w:rsidRPr="00B96FBE">
        <w:t>associated with the preparation of the document and joint approval processes, it h</w:t>
      </w:r>
      <w:r w:rsidR="009E2B7D" w:rsidRPr="00B96FBE">
        <w:t xml:space="preserve">as not been </w:t>
      </w:r>
      <w:r w:rsidR="00DC3B62" w:rsidRPr="00B96FBE">
        <w:t>practical</w:t>
      </w:r>
      <w:r w:rsidR="009E2B7D" w:rsidRPr="00B96FBE">
        <w:t xml:space="preserve"> to </w:t>
      </w:r>
      <w:r w:rsidR="007E69AA">
        <w:t>formally present</w:t>
      </w:r>
      <w:r w:rsidR="009E2B7D" w:rsidRPr="00B96FBE">
        <w:t xml:space="preserve"> </w:t>
      </w:r>
      <w:r w:rsidR="00687B94">
        <w:t xml:space="preserve">to </w:t>
      </w:r>
      <w:r w:rsidR="009E2B7D" w:rsidRPr="00B96FBE">
        <w:t xml:space="preserve">the </w:t>
      </w:r>
      <w:r w:rsidR="003021DD" w:rsidRPr="00B96FBE">
        <w:t>Planning Policy Working Group (PPWG)</w:t>
      </w:r>
      <w:r w:rsidR="00F33DCB">
        <w:t>. However, and as noted above, Ward Councillors</w:t>
      </w:r>
      <w:r w:rsidR="003021DD" w:rsidRPr="00B96FBE">
        <w:t xml:space="preserve"> </w:t>
      </w:r>
      <w:r w:rsidR="00370F86">
        <w:t xml:space="preserve">were provided </w:t>
      </w:r>
      <w:proofErr w:type="gramStart"/>
      <w:r w:rsidR="00370F86">
        <w:t>a number of</w:t>
      </w:r>
      <w:proofErr w:type="gramEnd"/>
      <w:r w:rsidR="00370F86">
        <w:t xml:space="preserve"> workshops and presentations throughout the pre-consultation and formal consultation process. </w:t>
      </w:r>
    </w:p>
    <w:p w14:paraId="4BC6D4E7" w14:textId="77777777" w:rsidR="001C7E35" w:rsidRPr="00B96FBE" w:rsidRDefault="001C7E35" w:rsidP="00A723AD">
      <w:pPr>
        <w:pStyle w:val="ListParagraph"/>
        <w:jc w:val="both"/>
      </w:pPr>
    </w:p>
    <w:p w14:paraId="25E283B4" w14:textId="5B118A30" w:rsidR="00DB5AA8" w:rsidRPr="00B96FBE" w:rsidRDefault="00F92AB1" w:rsidP="00A723AD">
      <w:pPr>
        <w:jc w:val="both"/>
        <w:rPr>
          <w:b/>
        </w:rPr>
      </w:pPr>
      <w:r>
        <w:rPr>
          <w:b/>
        </w:rPr>
        <w:t xml:space="preserve">Consultations </w:t>
      </w:r>
      <w:r w:rsidR="00A157A0">
        <w:rPr>
          <w:b/>
        </w:rPr>
        <w:t xml:space="preserve">Outcomes </w:t>
      </w:r>
      <w:r>
        <w:rPr>
          <w:b/>
        </w:rPr>
        <w:t xml:space="preserve"> </w:t>
      </w:r>
    </w:p>
    <w:p w14:paraId="7DE34570" w14:textId="77777777" w:rsidR="001145DB" w:rsidRPr="00B96FBE" w:rsidRDefault="001145DB" w:rsidP="00A723AD">
      <w:pPr>
        <w:jc w:val="both"/>
        <w:rPr>
          <w:b/>
        </w:rPr>
      </w:pPr>
    </w:p>
    <w:p w14:paraId="32784F42" w14:textId="40FC5AFB" w:rsidR="00685D59" w:rsidRPr="00AC112A" w:rsidRDefault="001D3EF8" w:rsidP="00BE2DA1">
      <w:pPr>
        <w:ind w:left="426" w:hanging="426"/>
        <w:jc w:val="both"/>
        <w:rPr>
          <w:szCs w:val="24"/>
        </w:rPr>
      </w:pPr>
      <w:r>
        <w:rPr>
          <w:szCs w:val="24"/>
        </w:rPr>
        <w:t>3.6</w:t>
      </w:r>
      <w:r>
        <w:rPr>
          <w:szCs w:val="24"/>
        </w:rPr>
        <w:tab/>
      </w:r>
      <w:r w:rsidR="00A42E80" w:rsidRPr="001D3EF8">
        <w:rPr>
          <w:szCs w:val="24"/>
        </w:rPr>
        <w:t xml:space="preserve">As a result of the consultation arrangements outlined above, there were a total of </w:t>
      </w:r>
      <w:r w:rsidR="00B76285" w:rsidRPr="001D3EF8">
        <w:rPr>
          <w:b/>
          <w:szCs w:val="24"/>
        </w:rPr>
        <w:t>77</w:t>
      </w:r>
      <w:r w:rsidR="00A42E80" w:rsidRPr="001D3EF8">
        <w:rPr>
          <w:szCs w:val="24"/>
        </w:rPr>
        <w:t xml:space="preserve"> </w:t>
      </w:r>
      <w:r w:rsidR="00DF01E2" w:rsidRPr="001D3EF8">
        <w:rPr>
          <w:szCs w:val="24"/>
        </w:rPr>
        <w:t xml:space="preserve">email </w:t>
      </w:r>
      <w:r w:rsidR="00A42E80" w:rsidRPr="00AC112A">
        <w:rPr>
          <w:szCs w:val="24"/>
        </w:rPr>
        <w:t>responses to the consultation</w:t>
      </w:r>
      <w:r w:rsidR="00DF01E2" w:rsidRPr="00AC112A">
        <w:rPr>
          <w:szCs w:val="24"/>
        </w:rPr>
        <w:t xml:space="preserve">, and </w:t>
      </w:r>
      <w:r w:rsidR="00AD0122" w:rsidRPr="00AC112A">
        <w:rPr>
          <w:b/>
          <w:bCs/>
          <w:szCs w:val="24"/>
        </w:rPr>
        <w:t xml:space="preserve">142 </w:t>
      </w:r>
      <w:r w:rsidR="00AD0122" w:rsidRPr="00AC112A">
        <w:rPr>
          <w:szCs w:val="24"/>
        </w:rPr>
        <w:t>completed online questionnaires</w:t>
      </w:r>
      <w:r w:rsidR="0084404D" w:rsidRPr="00AC112A">
        <w:rPr>
          <w:szCs w:val="24"/>
        </w:rPr>
        <w:t xml:space="preserve">. </w:t>
      </w:r>
      <w:proofErr w:type="gramStart"/>
      <w:r w:rsidR="00361F66" w:rsidRPr="00AC112A">
        <w:rPr>
          <w:szCs w:val="24"/>
        </w:rPr>
        <w:t>With regard to</w:t>
      </w:r>
      <w:proofErr w:type="gramEnd"/>
      <w:r w:rsidR="00361F66" w:rsidRPr="00AC112A">
        <w:rPr>
          <w:szCs w:val="24"/>
        </w:rPr>
        <w:t xml:space="preserve"> the </w:t>
      </w:r>
      <w:r w:rsidR="00685D59" w:rsidRPr="00AC112A">
        <w:rPr>
          <w:szCs w:val="24"/>
        </w:rPr>
        <w:t xml:space="preserve">two </w:t>
      </w:r>
      <w:r w:rsidR="00361F66" w:rsidRPr="00AC112A">
        <w:rPr>
          <w:szCs w:val="24"/>
        </w:rPr>
        <w:t xml:space="preserve">online </w:t>
      </w:r>
      <w:r w:rsidR="00685D59" w:rsidRPr="00AC112A">
        <w:rPr>
          <w:szCs w:val="24"/>
        </w:rPr>
        <w:t xml:space="preserve">consultation sessions a total of </w:t>
      </w:r>
      <w:r w:rsidR="007361B2" w:rsidRPr="00AC112A">
        <w:rPr>
          <w:b/>
          <w:bCs/>
          <w:szCs w:val="24"/>
        </w:rPr>
        <w:t>155</w:t>
      </w:r>
      <w:r w:rsidR="00685D59" w:rsidRPr="00AC112A">
        <w:rPr>
          <w:b/>
          <w:bCs/>
          <w:szCs w:val="24"/>
        </w:rPr>
        <w:t xml:space="preserve"> </w:t>
      </w:r>
      <w:r w:rsidR="00685D59" w:rsidRPr="00AC112A">
        <w:rPr>
          <w:szCs w:val="24"/>
        </w:rPr>
        <w:t xml:space="preserve">participants took part. </w:t>
      </w:r>
      <w:r w:rsidR="00582D62" w:rsidRPr="00AC112A">
        <w:rPr>
          <w:szCs w:val="24"/>
        </w:rPr>
        <w:t xml:space="preserve">In comparison with previous consultations on SPDs and </w:t>
      </w:r>
      <w:r w:rsidR="00DC15EE" w:rsidRPr="00AC112A">
        <w:rPr>
          <w:szCs w:val="24"/>
        </w:rPr>
        <w:t xml:space="preserve">in the context of the Conid-19 pandemic, this level of response / engagement was </w:t>
      </w:r>
      <w:r w:rsidR="00EA49A7" w:rsidRPr="00AC112A">
        <w:rPr>
          <w:szCs w:val="24"/>
        </w:rPr>
        <w:t xml:space="preserve">considered positive. </w:t>
      </w:r>
    </w:p>
    <w:p w14:paraId="47243A90" w14:textId="77777777" w:rsidR="00685D59" w:rsidRPr="00685D59" w:rsidRDefault="00685D59" w:rsidP="00685D59">
      <w:pPr>
        <w:pStyle w:val="ListParagraph"/>
        <w:ind w:left="773"/>
        <w:jc w:val="both"/>
        <w:rPr>
          <w:szCs w:val="24"/>
        </w:rPr>
      </w:pPr>
    </w:p>
    <w:p w14:paraId="423639B5" w14:textId="329C140B" w:rsidR="00003694" w:rsidRDefault="001D3EF8" w:rsidP="00BE2DA1">
      <w:pPr>
        <w:ind w:left="426" w:hanging="426"/>
        <w:jc w:val="both"/>
      </w:pPr>
      <w:r>
        <w:t>3.7</w:t>
      </w:r>
      <w:r>
        <w:tab/>
      </w:r>
      <w:r w:rsidR="00A42E80" w:rsidRPr="00007F63">
        <w:t xml:space="preserve">The substantive points raised in the responses are detailed, alongside the </w:t>
      </w:r>
      <w:r w:rsidR="00EA49A7">
        <w:t>Councils’</w:t>
      </w:r>
      <w:r w:rsidR="00EA49A7" w:rsidRPr="00007F63">
        <w:t xml:space="preserve"> </w:t>
      </w:r>
      <w:r w:rsidR="00A42E80" w:rsidRPr="00007F63">
        <w:t xml:space="preserve">responses, in the </w:t>
      </w:r>
      <w:r w:rsidR="00197E9A" w:rsidRPr="00197E9A">
        <w:rPr>
          <w:szCs w:val="24"/>
        </w:rPr>
        <w:t>Schedule of Representations and Responses</w:t>
      </w:r>
      <w:r w:rsidR="00197E9A" w:rsidRPr="00197E9A" w:rsidDel="00197E9A">
        <w:t xml:space="preserve"> </w:t>
      </w:r>
      <w:r w:rsidR="00A42E80" w:rsidRPr="00007F63">
        <w:t xml:space="preserve">at Appendix </w:t>
      </w:r>
      <w:r w:rsidR="00197E9A">
        <w:t>2</w:t>
      </w:r>
      <w:r w:rsidR="00197E9A" w:rsidRPr="00007F63">
        <w:t xml:space="preserve"> </w:t>
      </w:r>
      <w:r w:rsidR="00A42E80" w:rsidRPr="00007F63">
        <w:t xml:space="preserve">to this report. The main issues </w:t>
      </w:r>
      <w:proofErr w:type="gramStart"/>
      <w:r w:rsidR="00A07D5A">
        <w:t>raised</w:t>
      </w:r>
      <w:proofErr w:type="gramEnd"/>
      <w:r w:rsidR="00A07D5A">
        <w:t xml:space="preserve"> </w:t>
      </w:r>
      <w:r w:rsidR="006F7548">
        <w:t xml:space="preserve">and </w:t>
      </w:r>
      <w:r w:rsidR="00A07D5A">
        <w:t>proposed</w:t>
      </w:r>
      <w:r w:rsidR="006F7548">
        <w:t xml:space="preserve"> responses are </w:t>
      </w:r>
      <w:r w:rsidR="00A42E80" w:rsidRPr="00007F63">
        <w:t>summarised below.</w:t>
      </w:r>
    </w:p>
    <w:p w14:paraId="3550BC61" w14:textId="1F2995B0" w:rsidR="00003694" w:rsidRDefault="00003694" w:rsidP="00003694">
      <w:pPr>
        <w:pStyle w:val="ListParagraph"/>
      </w:pPr>
    </w:p>
    <w:p w14:paraId="549F62E4" w14:textId="025F3BF0" w:rsidR="000D6F0A" w:rsidRDefault="000D6F0A" w:rsidP="00FD29DC">
      <w:pPr>
        <w:pStyle w:val="ListParagraph"/>
        <w:numPr>
          <w:ilvl w:val="0"/>
          <w:numId w:val="15"/>
        </w:numPr>
        <w:jc w:val="both"/>
      </w:pPr>
      <w:r w:rsidRPr="000D6F0A">
        <w:t>Additional reference to the strategic context of the London Plan supporting Edgware Town Centre as a sustainable location for intensification.</w:t>
      </w:r>
    </w:p>
    <w:p w14:paraId="1A8B1FE3" w14:textId="77777777" w:rsidR="002C7137" w:rsidRDefault="002C7137" w:rsidP="002C7137">
      <w:pPr>
        <w:pStyle w:val="ListParagraph"/>
        <w:jc w:val="both"/>
      </w:pPr>
    </w:p>
    <w:p w14:paraId="01A1B91F" w14:textId="245BDB26" w:rsidR="000D6F0A" w:rsidRDefault="000D6F0A" w:rsidP="00FD29DC">
      <w:pPr>
        <w:pStyle w:val="ListParagraph"/>
        <w:numPr>
          <w:ilvl w:val="0"/>
          <w:numId w:val="15"/>
        </w:numPr>
        <w:jc w:val="both"/>
      </w:pPr>
      <w:r w:rsidRPr="000D6F0A">
        <w:t xml:space="preserve">Update to the </w:t>
      </w:r>
      <w:proofErr w:type="spellStart"/>
      <w:r w:rsidRPr="000D6F0A">
        <w:t>Broadwalk</w:t>
      </w:r>
      <w:proofErr w:type="spellEnd"/>
      <w:r w:rsidRPr="000D6F0A">
        <w:t xml:space="preserve"> Centre and Station design guidance in Chapter 5 to add clarity and ensure </w:t>
      </w:r>
      <w:proofErr w:type="gramStart"/>
      <w:r w:rsidRPr="000D6F0A">
        <w:t>sufficient</w:t>
      </w:r>
      <w:proofErr w:type="gramEnd"/>
      <w:r w:rsidRPr="000D6F0A">
        <w:t xml:space="preserve"> flexibility. </w:t>
      </w:r>
    </w:p>
    <w:p w14:paraId="702A41F4" w14:textId="21412C7E" w:rsidR="00DF6086" w:rsidRDefault="00DF6086" w:rsidP="00FD29DC">
      <w:pPr>
        <w:pStyle w:val="ListParagraph"/>
        <w:jc w:val="both"/>
      </w:pPr>
    </w:p>
    <w:p w14:paraId="34478A24" w14:textId="13661063" w:rsidR="000D6F0A" w:rsidRDefault="000D6F0A" w:rsidP="00FD29DC">
      <w:pPr>
        <w:pStyle w:val="ListParagraph"/>
        <w:numPr>
          <w:ilvl w:val="0"/>
          <w:numId w:val="15"/>
        </w:numPr>
        <w:jc w:val="both"/>
      </w:pPr>
      <w:r w:rsidRPr="000D6F0A">
        <w:t>While numerous local residents raised concerns over tall buildings and density, Edgware Town Centre is identified as a tall building location</w:t>
      </w:r>
      <w:r w:rsidR="008E74B4">
        <w:t xml:space="preserve"> </w:t>
      </w:r>
      <w:r w:rsidR="00600CF1">
        <w:t>(</w:t>
      </w:r>
      <w:r w:rsidR="00F0717F">
        <w:t xml:space="preserve">within </w:t>
      </w:r>
      <w:r w:rsidR="00344C68">
        <w:t xml:space="preserve">the </w:t>
      </w:r>
      <w:r w:rsidR="00F0717F">
        <w:t>Barnet</w:t>
      </w:r>
      <w:r w:rsidR="00600CF1">
        <w:t xml:space="preserve"> part of the centre)</w:t>
      </w:r>
      <w:r w:rsidR="00FF34D3">
        <w:rPr>
          <w:rStyle w:val="FootnoteReference"/>
        </w:rPr>
        <w:footnoteReference w:id="1"/>
      </w:r>
      <w:r w:rsidRPr="000D6F0A">
        <w:t>, with the SPD requiring that the design must be of excellent design and demonstrate an appropriate relationship with other town centre buildings and the surrounding low-rise suburbs.</w:t>
      </w:r>
      <w:r w:rsidR="00DF13CA">
        <w:t xml:space="preserve"> The scope for tall buildings within the Harrow part of the</w:t>
      </w:r>
      <w:r w:rsidR="00274B73">
        <w:t xml:space="preserve"> centre is limited by its surrounding context and this is reflected </w:t>
      </w:r>
      <w:r w:rsidR="00C9502C">
        <w:t>in the</w:t>
      </w:r>
      <w:r w:rsidR="00274B73">
        <w:t xml:space="preserve"> SPD.</w:t>
      </w:r>
    </w:p>
    <w:p w14:paraId="1B247D8C" w14:textId="77777777" w:rsidR="000D6F0A" w:rsidRPr="000D6F0A" w:rsidRDefault="000D6F0A" w:rsidP="00FD29DC">
      <w:pPr>
        <w:pStyle w:val="ListParagraph"/>
        <w:jc w:val="both"/>
      </w:pPr>
    </w:p>
    <w:p w14:paraId="378B638B" w14:textId="32CEB5D8" w:rsidR="000D6F0A" w:rsidRDefault="000D6F0A" w:rsidP="00FD29DC">
      <w:pPr>
        <w:pStyle w:val="ListParagraph"/>
        <w:numPr>
          <w:ilvl w:val="0"/>
          <w:numId w:val="15"/>
        </w:numPr>
        <w:jc w:val="both"/>
      </w:pPr>
      <w:r w:rsidRPr="000D6F0A">
        <w:t xml:space="preserve">Transport and movement updates as raised by TfL, including additional references to a Healthy Streets Approach and the ongoing need for the London Underground rail infrastructure to support operations. </w:t>
      </w:r>
    </w:p>
    <w:p w14:paraId="1E75BC90" w14:textId="77777777" w:rsidR="00A25390" w:rsidRDefault="00A25390" w:rsidP="00FD29DC">
      <w:pPr>
        <w:pStyle w:val="ListParagraph"/>
        <w:jc w:val="both"/>
      </w:pPr>
    </w:p>
    <w:p w14:paraId="79769004" w14:textId="1D706EBE" w:rsidR="000D6F0A" w:rsidRDefault="000D6F0A" w:rsidP="00FD29DC">
      <w:pPr>
        <w:pStyle w:val="ListParagraph"/>
        <w:numPr>
          <w:ilvl w:val="0"/>
          <w:numId w:val="15"/>
        </w:numPr>
        <w:jc w:val="both"/>
      </w:pPr>
      <w:r w:rsidRPr="000D6F0A">
        <w:t xml:space="preserve">Concern by </w:t>
      </w:r>
      <w:proofErr w:type="gramStart"/>
      <w:r w:rsidRPr="000D6F0A">
        <w:t>local residents</w:t>
      </w:r>
      <w:proofErr w:type="gramEnd"/>
      <w:r w:rsidRPr="000D6F0A">
        <w:t xml:space="preserve"> over loss of car parking – the provision of car parking for town centre uses is expected to continue and should be based on evidence of need.  </w:t>
      </w:r>
    </w:p>
    <w:p w14:paraId="58C9BE33" w14:textId="77777777" w:rsidR="00A25390" w:rsidRDefault="00A25390" w:rsidP="00A25390">
      <w:pPr>
        <w:jc w:val="both"/>
      </w:pPr>
    </w:p>
    <w:p w14:paraId="68B519F5" w14:textId="78EE3CAE" w:rsidR="008B1460" w:rsidRDefault="008B1460" w:rsidP="00FD29DC">
      <w:pPr>
        <w:pStyle w:val="ListParagraph"/>
        <w:numPr>
          <w:ilvl w:val="0"/>
          <w:numId w:val="15"/>
        </w:numPr>
        <w:jc w:val="both"/>
      </w:pPr>
      <w:r w:rsidRPr="008B1460">
        <w:t>More references to managing flood risk and environmental improvements.</w:t>
      </w:r>
    </w:p>
    <w:p w14:paraId="6B261285" w14:textId="2EA169D6" w:rsidR="00A25390" w:rsidRDefault="00A25390" w:rsidP="00FD29DC">
      <w:pPr>
        <w:pStyle w:val="ListParagraph"/>
        <w:jc w:val="both"/>
      </w:pPr>
    </w:p>
    <w:p w14:paraId="06B1C1A5" w14:textId="015EC9AA" w:rsidR="008B1460" w:rsidRDefault="008B1460" w:rsidP="00FD29DC">
      <w:pPr>
        <w:pStyle w:val="ListParagraph"/>
        <w:numPr>
          <w:ilvl w:val="0"/>
          <w:numId w:val="15"/>
        </w:numPr>
        <w:jc w:val="both"/>
      </w:pPr>
      <w:r w:rsidRPr="008B1460">
        <w:t>Strengthen references to tackling climate change</w:t>
      </w:r>
    </w:p>
    <w:p w14:paraId="69FB7819" w14:textId="77777777" w:rsidR="00F23125" w:rsidRDefault="00F23125" w:rsidP="00F23125">
      <w:pPr>
        <w:pStyle w:val="ListParagraph"/>
        <w:jc w:val="both"/>
      </w:pPr>
    </w:p>
    <w:p w14:paraId="6C5E9129" w14:textId="11928AC8" w:rsidR="008B1460" w:rsidRDefault="008B1460" w:rsidP="00FD29DC">
      <w:pPr>
        <w:pStyle w:val="ListParagraph"/>
        <w:numPr>
          <w:ilvl w:val="0"/>
          <w:numId w:val="15"/>
        </w:numPr>
        <w:jc w:val="both"/>
      </w:pPr>
      <w:r w:rsidRPr="008B1460">
        <w:t>Increased references to heritage assets in the area.</w:t>
      </w:r>
    </w:p>
    <w:p w14:paraId="3DE2C9DD" w14:textId="77777777" w:rsidR="00454F25" w:rsidRDefault="00454F25" w:rsidP="00454F25">
      <w:pPr>
        <w:jc w:val="both"/>
      </w:pPr>
    </w:p>
    <w:p w14:paraId="02F3B0E8" w14:textId="255185EE" w:rsidR="008B1460" w:rsidRDefault="008B1460" w:rsidP="00FD29DC">
      <w:pPr>
        <w:pStyle w:val="ListParagraph"/>
        <w:numPr>
          <w:ilvl w:val="0"/>
          <w:numId w:val="15"/>
        </w:numPr>
        <w:jc w:val="both"/>
      </w:pPr>
      <w:proofErr w:type="gramStart"/>
      <w:r w:rsidRPr="008B1460">
        <w:t>Local residents</w:t>
      </w:r>
      <w:proofErr w:type="gramEnd"/>
      <w:r w:rsidRPr="008B1460">
        <w:t xml:space="preserve"> raised concerns over pressure on community facilities due to the rising population – strengthened the text in response. </w:t>
      </w:r>
    </w:p>
    <w:p w14:paraId="438BC2B8" w14:textId="3D1EF181" w:rsidR="008B1460" w:rsidRDefault="008B1460" w:rsidP="00230B4A">
      <w:pPr>
        <w:ind w:left="720"/>
        <w:jc w:val="both"/>
      </w:pPr>
    </w:p>
    <w:p w14:paraId="3FC724C4" w14:textId="77777777" w:rsidR="005933E4" w:rsidRPr="005933E4" w:rsidRDefault="005933E4" w:rsidP="005933E4">
      <w:pPr>
        <w:pStyle w:val="ListParagraph"/>
        <w:numPr>
          <w:ilvl w:val="0"/>
          <w:numId w:val="15"/>
        </w:numPr>
        <w:jc w:val="both"/>
      </w:pPr>
      <w:r w:rsidRPr="005933E4">
        <w:t>Should make specific reference to requiring active design (Sport England)</w:t>
      </w:r>
    </w:p>
    <w:p w14:paraId="59734C04" w14:textId="77777777" w:rsidR="005933E4" w:rsidRDefault="005933E4" w:rsidP="005933E4">
      <w:pPr>
        <w:jc w:val="both"/>
      </w:pPr>
    </w:p>
    <w:p w14:paraId="59D6740B" w14:textId="17B2B14D" w:rsidR="008B1460" w:rsidRDefault="008B1460" w:rsidP="00FD29DC">
      <w:pPr>
        <w:pStyle w:val="ListParagraph"/>
        <w:numPr>
          <w:ilvl w:val="0"/>
          <w:numId w:val="15"/>
        </w:numPr>
        <w:jc w:val="both"/>
      </w:pPr>
      <w:r w:rsidRPr="008B1460">
        <w:t>Public safety – more detail of the Security by Design approach.</w:t>
      </w:r>
    </w:p>
    <w:p w14:paraId="45BE23DC" w14:textId="77777777" w:rsidR="00D07012" w:rsidRDefault="00D07012" w:rsidP="00FD29DC">
      <w:pPr>
        <w:pStyle w:val="ListParagraph"/>
        <w:jc w:val="both"/>
      </w:pPr>
    </w:p>
    <w:p w14:paraId="132EB9F2" w14:textId="06366792" w:rsidR="008B1460" w:rsidRDefault="008B1460" w:rsidP="00FD29DC">
      <w:pPr>
        <w:pStyle w:val="ListParagraph"/>
        <w:numPr>
          <w:ilvl w:val="0"/>
          <w:numId w:val="15"/>
        </w:numPr>
        <w:jc w:val="both"/>
      </w:pPr>
      <w:r w:rsidRPr="008B1460">
        <w:t xml:space="preserve">Public health – requirement to meet the PHE guidance document. </w:t>
      </w:r>
    </w:p>
    <w:p w14:paraId="702FF03A" w14:textId="39CAAAEB" w:rsidR="008B1460" w:rsidRDefault="008B1460" w:rsidP="008C7B58">
      <w:pPr>
        <w:ind w:left="720"/>
        <w:jc w:val="both"/>
      </w:pPr>
    </w:p>
    <w:p w14:paraId="02A02B45" w14:textId="6726F969" w:rsidR="008B1460" w:rsidRPr="008F2A72" w:rsidRDefault="008B1460" w:rsidP="00FD29DC">
      <w:pPr>
        <w:pStyle w:val="ListParagraph"/>
        <w:numPr>
          <w:ilvl w:val="0"/>
          <w:numId w:val="15"/>
        </w:numPr>
        <w:jc w:val="both"/>
      </w:pPr>
      <w:r w:rsidRPr="008B1460">
        <w:t xml:space="preserve">Young people </w:t>
      </w:r>
      <w:proofErr w:type="gramStart"/>
      <w:r w:rsidRPr="008B1460">
        <w:t>concerns</w:t>
      </w:r>
      <w:proofErr w:type="gramEnd"/>
      <w:r w:rsidRPr="008B1460">
        <w:t xml:space="preserve"> – making the town centre more appealing to visit; more local jobs suitable for young people</w:t>
      </w:r>
      <w:r w:rsidRPr="008B1460">
        <w:rPr>
          <w:i/>
          <w:iCs/>
        </w:rPr>
        <w:t>.</w:t>
      </w:r>
    </w:p>
    <w:p w14:paraId="39E6DF12" w14:textId="77777777" w:rsidR="008B1460" w:rsidRPr="008B1460" w:rsidRDefault="008B1460" w:rsidP="008F2A72">
      <w:pPr>
        <w:pStyle w:val="ListParagraph"/>
        <w:jc w:val="both"/>
      </w:pPr>
    </w:p>
    <w:p w14:paraId="40F8ECD8" w14:textId="28A2F56F" w:rsidR="000D6F0A" w:rsidRDefault="000D6F0A" w:rsidP="00FD29DC">
      <w:pPr>
        <w:pStyle w:val="ListParagraph"/>
        <w:jc w:val="both"/>
      </w:pPr>
    </w:p>
    <w:p w14:paraId="48F793CA" w14:textId="27106E50" w:rsidR="00003694" w:rsidRPr="00B96FBE" w:rsidRDefault="00803A60" w:rsidP="00803A60">
      <w:pPr>
        <w:jc w:val="both"/>
        <w:rPr>
          <w:b/>
        </w:rPr>
      </w:pPr>
      <w:r>
        <w:rPr>
          <w:b/>
        </w:rPr>
        <w:t xml:space="preserve">       </w:t>
      </w:r>
      <w:r w:rsidR="00003694" w:rsidRPr="00B96FBE">
        <w:rPr>
          <w:b/>
        </w:rPr>
        <w:t xml:space="preserve">Ward Councillors’ comments </w:t>
      </w:r>
    </w:p>
    <w:p w14:paraId="418E9622" w14:textId="16227E48" w:rsidR="00003694" w:rsidRDefault="00003694" w:rsidP="00003694">
      <w:pPr>
        <w:jc w:val="both"/>
      </w:pPr>
    </w:p>
    <w:p w14:paraId="7A14021A" w14:textId="505B5126" w:rsidR="00FE56CF" w:rsidRDefault="0051495B" w:rsidP="00BE2DA1">
      <w:pPr>
        <w:ind w:left="567" w:hanging="567"/>
        <w:jc w:val="both"/>
      </w:pPr>
      <w:r>
        <w:t>3.8</w:t>
      </w:r>
      <w:r>
        <w:tab/>
      </w:r>
      <w:r w:rsidR="00DC1B5B">
        <w:t>V</w:t>
      </w:r>
      <w:r w:rsidR="00FE56CF" w:rsidRPr="00B96FBE">
        <w:t>irtual consultation event</w:t>
      </w:r>
      <w:r w:rsidR="00AC11C0">
        <w:t>s</w:t>
      </w:r>
      <w:r w:rsidR="00FE56CF" w:rsidRPr="00B96FBE">
        <w:t xml:space="preserve"> </w:t>
      </w:r>
      <w:r w:rsidR="00AC11C0">
        <w:t>were</w:t>
      </w:r>
      <w:r w:rsidR="00AC11C0" w:rsidRPr="00B96FBE">
        <w:t xml:space="preserve"> </w:t>
      </w:r>
      <w:r w:rsidR="00FE56CF" w:rsidRPr="00B96FBE">
        <w:t xml:space="preserve">held for both Barnet and Harrow Ward Councillors </w:t>
      </w:r>
      <w:proofErr w:type="gramStart"/>
      <w:r w:rsidR="00FE56CF" w:rsidRPr="00B96FBE">
        <w:t>with regard to</w:t>
      </w:r>
      <w:proofErr w:type="gramEnd"/>
      <w:r w:rsidR="00FE56CF" w:rsidRPr="00B96FBE">
        <w:t xml:space="preserve"> the developing SPD </w:t>
      </w:r>
      <w:r w:rsidR="00DC1B5B">
        <w:t>as set out above</w:t>
      </w:r>
      <w:r w:rsidR="00FE56CF" w:rsidRPr="00B96FBE">
        <w:t xml:space="preserve">. </w:t>
      </w:r>
      <w:r w:rsidR="00FD4608" w:rsidRPr="00B96FBE">
        <w:t>Comments</w:t>
      </w:r>
      <w:r w:rsidR="00FE56CF" w:rsidRPr="00B96FBE">
        <w:t xml:space="preserve"> received have been taken into </w:t>
      </w:r>
      <w:r w:rsidR="00FD4608" w:rsidRPr="00B96FBE">
        <w:t>consideration</w:t>
      </w:r>
      <w:r w:rsidR="00FE56CF" w:rsidRPr="00B96FBE">
        <w:t xml:space="preserve"> in the drafting of the SPD to date. </w:t>
      </w:r>
      <w:r w:rsidR="00485FE8">
        <w:t xml:space="preserve">Comments </w:t>
      </w:r>
      <w:r w:rsidR="00E50C9D">
        <w:t xml:space="preserve">received from Ward Councillors are included within the </w:t>
      </w:r>
      <w:r w:rsidR="00197E9A" w:rsidRPr="00197E9A">
        <w:rPr>
          <w:szCs w:val="24"/>
        </w:rPr>
        <w:t>Schedule of Representations and Responses</w:t>
      </w:r>
      <w:r w:rsidR="00197E9A" w:rsidRPr="00197E9A" w:rsidDel="00197E9A">
        <w:t xml:space="preserve"> </w:t>
      </w:r>
      <w:r w:rsidR="00E50C9D" w:rsidRPr="00A00A22">
        <w:t xml:space="preserve">attached as Appendix </w:t>
      </w:r>
      <w:r w:rsidR="00197E9A">
        <w:t>2</w:t>
      </w:r>
      <w:r w:rsidR="00A00A22">
        <w:t>.</w:t>
      </w:r>
    </w:p>
    <w:p w14:paraId="669F3302" w14:textId="77777777" w:rsidR="007C6E61" w:rsidRDefault="007C6E61" w:rsidP="007C6E61">
      <w:pPr>
        <w:pStyle w:val="ListParagraph"/>
        <w:ind w:left="773"/>
        <w:jc w:val="both"/>
      </w:pPr>
    </w:p>
    <w:p w14:paraId="41041549" w14:textId="1EF54D00" w:rsidR="007C6E61" w:rsidRPr="00AC112A" w:rsidRDefault="0051495B" w:rsidP="00AC112A">
      <w:pPr>
        <w:keepNext/>
        <w:ind w:left="360"/>
        <w:jc w:val="both"/>
        <w:rPr>
          <w:b/>
          <w:bCs/>
        </w:rPr>
      </w:pPr>
      <w:r>
        <w:rPr>
          <w:b/>
          <w:bCs/>
        </w:rPr>
        <w:t>4.</w:t>
      </w:r>
      <w:r>
        <w:rPr>
          <w:b/>
          <w:bCs/>
        </w:rPr>
        <w:tab/>
      </w:r>
      <w:r w:rsidR="007C6E61" w:rsidRPr="00AC112A">
        <w:rPr>
          <w:b/>
          <w:bCs/>
        </w:rPr>
        <w:t xml:space="preserve">Proposed amendments </w:t>
      </w:r>
    </w:p>
    <w:p w14:paraId="051AEDD4" w14:textId="65D4DAEC" w:rsidR="007C6E61" w:rsidRPr="00B96FBE" w:rsidRDefault="007C6E61" w:rsidP="00141348">
      <w:pPr>
        <w:keepNext/>
        <w:ind w:left="360"/>
        <w:jc w:val="both"/>
      </w:pPr>
    </w:p>
    <w:p w14:paraId="6CA1A471" w14:textId="2C3BF7FC" w:rsidR="00FE56CF" w:rsidRDefault="00AC112A" w:rsidP="006232B3">
      <w:pPr>
        <w:ind w:left="567" w:hanging="567"/>
        <w:jc w:val="both"/>
        <w:rPr>
          <w:szCs w:val="24"/>
        </w:rPr>
      </w:pPr>
      <w:r>
        <w:t>4</w:t>
      </w:r>
      <w:r w:rsidR="00361D94">
        <w:t xml:space="preserve">.1 </w:t>
      </w:r>
      <w:r w:rsidR="00BE2DA1">
        <w:tab/>
      </w:r>
      <w:r w:rsidR="00361D94">
        <w:rPr>
          <w:szCs w:val="24"/>
        </w:rPr>
        <w:t xml:space="preserve">In light of the representations received and the </w:t>
      </w:r>
      <w:r w:rsidR="00361D94" w:rsidRPr="00F55A57">
        <w:rPr>
          <w:szCs w:val="24"/>
        </w:rPr>
        <w:t>Council’s response to them (summarised in section </w:t>
      </w:r>
      <w:r w:rsidR="00F55A57" w:rsidRPr="00F55A57">
        <w:rPr>
          <w:szCs w:val="24"/>
        </w:rPr>
        <w:t>3</w:t>
      </w:r>
      <w:r w:rsidR="00361D94" w:rsidRPr="00F55A57">
        <w:rPr>
          <w:szCs w:val="24"/>
        </w:rPr>
        <w:t xml:space="preserve"> above and detailed in </w:t>
      </w:r>
      <w:r w:rsidR="00361D94" w:rsidRPr="004B02FB">
        <w:rPr>
          <w:szCs w:val="24"/>
        </w:rPr>
        <w:t>Appendi</w:t>
      </w:r>
      <w:r w:rsidR="002333E3" w:rsidRPr="004B02FB">
        <w:rPr>
          <w:szCs w:val="24"/>
        </w:rPr>
        <w:t>x</w:t>
      </w:r>
      <w:r w:rsidR="00361D94" w:rsidRPr="004B02FB">
        <w:rPr>
          <w:szCs w:val="24"/>
        </w:rPr>
        <w:t> </w:t>
      </w:r>
      <w:r w:rsidR="002333E3" w:rsidRPr="004B02FB">
        <w:rPr>
          <w:szCs w:val="24"/>
        </w:rPr>
        <w:t>1</w:t>
      </w:r>
      <w:r w:rsidR="004B02FB" w:rsidRPr="004B02FB">
        <w:rPr>
          <w:szCs w:val="24"/>
        </w:rPr>
        <w:t xml:space="preserve"> and 2</w:t>
      </w:r>
      <w:r w:rsidR="00042908" w:rsidRPr="004B02FB">
        <w:rPr>
          <w:szCs w:val="24"/>
        </w:rPr>
        <w:t>),</w:t>
      </w:r>
      <w:r w:rsidR="00042908">
        <w:rPr>
          <w:szCs w:val="24"/>
        </w:rPr>
        <w:t xml:space="preserve"> the following are key issues raised and officer responses to them. </w:t>
      </w:r>
    </w:p>
    <w:p w14:paraId="6D582500" w14:textId="77777777" w:rsidR="00361D94" w:rsidRDefault="00361D94" w:rsidP="006232B3">
      <w:pPr>
        <w:ind w:left="360" w:hanging="360"/>
        <w:jc w:val="both"/>
        <w:rPr>
          <w:szCs w:val="24"/>
        </w:rPr>
      </w:pPr>
    </w:p>
    <w:p w14:paraId="1A072A9A" w14:textId="26741174" w:rsidR="00DC0BFA" w:rsidRDefault="00DC0BFA" w:rsidP="006232B3">
      <w:pPr>
        <w:numPr>
          <w:ilvl w:val="0"/>
          <w:numId w:val="18"/>
        </w:numPr>
        <w:jc w:val="both"/>
        <w:rPr>
          <w:szCs w:val="24"/>
        </w:rPr>
      </w:pPr>
      <w:r w:rsidRPr="00DC0BFA">
        <w:rPr>
          <w:szCs w:val="24"/>
        </w:rPr>
        <w:t>Requested further reference to the strategic context of the London Plan supporting Edgware Town Centre as a sustainable location for intensification (Savills on behalf of Ballymore &amp; TfL)</w:t>
      </w:r>
    </w:p>
    <w:p w14:paraId="33057F7F" w14:textId="77777777" w:rsidR="00567A40" w:rsidRPr="00567A40" w:rsidRDefault="00567A40" w:rsidP="006232B3">
      <w:pPr>
        <w:ind w:left="720"/>
        <w:jc w:val="both"/>
        <w:rPr>
          <w:i/>
          <w:iCs/>
          <w:szCs w:val="24"/>
        </w:rPr>
      </w:pPr>
      <w:r w:rsidRPr="00567A40">
        <w:rPr>
          <w:i/>
          <w:iCs/>
          <w:szCs w:val="24"/>
        </w:rPr>
        <w:t>Included additional reference to the strategic context of the London Plan and Good Growth in Chapter 1.</w:t>
      </w:r>
    </w:p>
    <w:p w14:paraId="4DCE52CD" w14:textId="77777777" w:rsidR="006D79F9" w:rsidRPr="00DC0BFA" w:rsidRDefault="006D79F9" w:rsidP="006232B3">
      <w:pPr>
        <w:ind w:left="720"/>
        <w:jc w:val="both"/>
        <w:rPr>
          <w:szCs w:val="24"/>
        </w:rPr>
      </w:pPr>
    </w:p>
    <w:p w14:paraId="3A38A303" w14:textId="0B0BF38C" w:rsidR="0036056C" w:rsidRDefault="0036056C" w:rsidP="006232B3">
      <w:pPr>
        <w:numPr>
          <w:ilvl w:val="0"/>
          <w:numId w:val="18"/>
        </w:numPr>
        <w:jc w:val="both"/>
        <w:rPr>
          <w:szCs w:val="24"/>
        </w:rPr>
      </w:pPr>
      <w:r w:rsidRPr="0036056C">
        <w:rPr>
          <w:szCs w:val="24"/>
        </w:rPr>
        <w:lastRenderedPageBreak/>
        <w:t xml:space="preserve">Concern that design guidance for the </w:t>
      </w:r>
      <w:proofErr w:type="spellStart"/>
      <w:r w:rsidRPr="0036056C">
        <w:rPr>
          <w:szCs w:val="24"/>
        </w:rPr>
        <w:t>Broadwalk</w:t>
      </w:r>
      <w:proofErr w:type="spellEnd"/>
      <w:r w:rsidRPr="0036056C">
        <w:rPr>
          <w:szCs w:val="24"/>
        </w:rPr>
        <w:t xml:space="preserve"> Centre and tube station is too restrictive (Savills on behalf of Ballymore and TfL)</w:t>
      </w:r>
    </w:p>
    <w:p w14:paraId="5F02F702" w14:textId="77777777" w:rsidR="00567A40" w:rsidRPr="00567A40" w:rsidRDefault="00567A40" w:rsidP="006232B3">
      <w:pPr>
        <w:ind w:left="720"/>
        <w:jc w:val="both"/>
        <w:rPr>
          <w:i/>
          <w:iCs/>
          <w:szCs w:val="24"/>
        </w:rPr>
      </w:pPr>
      <w:r w:rsidRPr="00567A40">
        <w:rPr>
          <w:i/>
          <w:iCs/>
          <w:szCs w:val="24"/>
        </w:rPr>
        <w:t xml:space="preserve">Update the design guidance in Chapter 5 to add clarity and ensure </w:t>
      </w:r>
      <w:proofErr w:type="gramStart"/>
      <w:r w:rsidRPr="00567A40">
        <w:rPr>
          <w:i/>
          <w:iCs/>
          <w:szCs w:val="24"/>
        </w:rPr>
        <w:t>sufficient</w:t>
      </w:r>
      <w:proofErr w:type="gramEnd"/>
      <w:r w:rsidRPr="00567A40">
        <w:rPr>
          <w:i/>
          <w:iCs/>
          <w:szCs w:val="24"/>
        </w:rPr>
        <w:t xml:space="preserve"> flexibility</w:t>
      </w:r>
    </w:p>
    <w:p w14:paraId="648AED51" w14:textId="77777777" w:rsidR="00567A40" w:rsidRPr="0036056C" w:rsidRDefault="00567A40" w:rsidP="006232B3">
      <w:pPr>
        <w:ind w:left="720"/>
        <w:jc w:val="both"/>
        <w:rPr>
          <w:szCs w:val="24"/>
        </w:rPr>
      </w:pPr>
    </w:p>
    <w:p w14:paraId="05ACE660" w14:textId="32FEB13D" w:rsidR="0036056C" w:rsidRDefault="0036056C" w:rsidP="006232B3">
      <w:pPr>
        <w:numPr>
          <w:ilvl w:val="0"/>
          <w:numId w:val="18"/>
        </w:numPr>
        <w:jc w:val="both"/>
        <w:rPr>
          <w:szCs w:val="24"/>
        </w:rPr>
      </w:pPr>
      <w:r w:rsidRPr="0036056C">
        <w:rPr>
          <w:szCs w:val="24"/>
        </w:rPr>
        <w:t xml:space="preserve">Concerns raised over tall buildings and increasing density negatively impacting the character and amenity of Edgware Town Centre (raised by </w:t>
      </w:r>
      <w:proofErr w:type="gramStart"/>
      <w:r w:rsidRPr="0036056C">
        <w:rPr>
          <w:szCs w:val="24"/>
        </w:rPr>
        <w:t>local residents</w:t>
      </w:r>
      <w:proofErr w:type="gramEnd"/>
      <w:r w:rsidRPr="0036056C">
        <w:rPr>
          <w:szCs w:val="24"/>
        </w:rPr>
        <w:t>)</w:t>
      </w:r>
    </w:p>
    <w:p w14:paraId="7F6BF710" w14:textId="77777777" w:rsidR="00D32D4C" w:rsidRPr="00D32D4C" w:rsidRDefault="00D32D4C" w:rsidP="006232B3">
      <w:pPr>
        <w:ind w:left="720"/>
        <w:jc w:val="both"/>
        <w:rPr>
          <w:i/>
          <w:iCs/>
          <w:szCs w:val="24"/>
        </w:rPr>
      </w:pPr>
      <w:r w:rsidRPr="00D32D4C">
        <w:rPr>
          <w:i/>
          <w:iCs/>
          <w:szCs w:val="24"/>
        </w:rPr>
        <w:t xml:space="preserve">Edgware Town Centre is identified as a tall building location within the Barnet Local Plan. However, is not identified as such within the Harrow Local Plan. The SPD does not specify building heights nor given the design principles, is anything of substantial height likely to occur within the Harrow side. </w:t>
      </w:r>
    </w:p>
    <w:p w14:paraId="6FE24B5F" w14:textId="77777777" w:rsidR="001B3CB9" w:rsidRPr="0036056C" w:rsidRDefault="001B3CB9" w:rsidP="006232B3">
      <w:pPr>
        <w:ind w:left="720"/>
        <w:jc w:val="both"/>
        <w:rPr>
          <w:szCs w:val="24"/>
        </w:rPr>
      </w:pPr>
    </w:p>
    <w:p w14:paraId="600D2DF4" w14:textId="71C21D64" w:rsidR="0036056C" w:rsidRDefault="0036056C" w:rsidP="006232B3">
      <w:pPr>
        <w:numPr>
          <w:ilvl w:val="0"/>
          <w:numId w:val="18"/>
        </w:numPr>
        <w:jc w:val="both"/>
        <w:rPr>
          <w:szCs w:val="24"/>
        </w:rPr>
      </w:pPr>
      <w:r w:rsidRPr="0036056C">
        <w:rPr>
          <w:szCs w:val="24"/>
        </w:rPr>
        <w:t>Transport and movement issues including further references to the Healthy Streets Approach, expectation of increased bus usage, and the need to maintain London Underground rail infrastructure (TfL).</w:t>
      </w:r>
    </w:p>
    <w:p w14:paraId="2024B475" w14:textId="77777777" w:rsidR="00D32D4C" w:rsidRPr="00D32D4C" w:rsidRDefault="00D32D4C" w:rsidP="006232B3">
      <w:pPr>
        <w:ind w:left="720"/>
        <w:jc w:val="both"/>
        <w:rPr>
          <w:i/>
          <w:iCs/>
          <w:szCs w:val="24"/>
        </w:rPr>
      </w:pPr>
      <w:r w:rsidRPr="00D32D4C">
        <w:rPr>
          <w:i/>
          <w:iCs/>
          <w:szCs w:val="24"/>
        </w:rPr>
        <w:t xml:space="preserve">Added references to a Healthy Streets Approach, consideration of bus priority, and the ongoing need for the London Underground rail infrastructure to support operations. </w:t>
      </w:r>
    </w:p>
    <w:p w14:paraId="3EEE7A4B" w14:textId="5DD6578D" w:rsidR="00D32D4C" w:rsidRDefault="00D32D4C" w:rsidP="006232B3">
      <w:pPr>
        <w:ind w:left="720"/>
        <w:jc w:val="both"/>
        <w:rPr>
          <w:szCs w:val="24"/>
        </w:rPr>
      </w:pPr>
    </w:p>
    <w:p w14:paraId="6741E159" w14:textId="6874C32F" w:rsidR="0036056C" w:rsidRDefault="0036056C" w:rsidP="006232B3">
      <w:pPr>
        <w:numPr>
          <w:ilvl w:val="0"/>
          <w:numId w:val="18"/>
        </w:numPr>
        <w:jc w:val="both"/>
        <w:rPr>
          <w:szCs w:val="24"/>
        </w:rPr>
      </w:pPr>
      <w:r w:rsidRPr="0036056C">
        <w:rPr>
          <w:szCs w:val="24"/>
        </w:rPr>
        <w:t xml:space="preserve">Concerns by loss of car parking and the impact on </w:t>
      </w:r>
      <w:proofErr w:type="spellStart"/>
      <w:proofErr w:type="gramStart"/>
      <w:r w:rsidRPr="0036056C">
        <w:rPr>
          <w:szCs w:val="24"/>
        </w:rPr>
        <w:t>peoples</w:t>
      </w:r>
      <w:proofErr w:type="spellEnd"/>
      <w:proofErr w:type="gramEnd"/>
      <w:r w:rsidRPr="0036056C">
        <w:rPr>
          <w:szCs w:val="24"/>
        </w:rPr>
        <w:t xml:space="preserve"> ability to access the town centre (local residents)</w:t>
      </w:r>
    </w:p>
    <w:p w14:paraId="33AE3F92" w14:textId="77777777" w:rsidR="00353130" w:rsidRPr="00353130" w:rsidRDefault="00353130" w:rsidP="006232B3">
      <w:pPr>
        <w:ind w:left="720"/>
        <w:jc w:val="both"/>
        <w:rPr>
          <w:i/>
          <w:iCs/>
          <w:szCs w:val="24"/>
        </w:rPr>
      </w:pPr>
      <w:r w:rsidRPr="00353130">
        <w:rPr>
          <w:i/>
          <w:iCs/>
          <w:szCs w:val="24"/>
        </w:rPr>
        <w:t>Some provision of car parking for town centre uses is expected to continue but should be based on evidence of need</w:t>
      </w:r>
    </w:p>
    <w:p w14:paraId="6270C940" w14:textId="1BE57AAA" w:rsidR="00D32D4C" w:rsidRDefault="00D32D4C" w:rsidP="006232B3">
      <w:pPr>
        <w:ind w:left="720"/>
        <w:jc w:val="both"/>
        <w:rPr>
          <w:szCs w:val="24"/>
        </w:rPr>
      </w:pPr>
    </w:p>
    <w:p w14:paraId="1ABEDD3E" w14:textId="242DC2E7" w:rsidR="0036056C" w:rsidRDefault="0036056C" w:rsidP="006232B3">
      <w:pPr>
        <w:numPr>
          <w:ilvl w:val="0"/>
          <w:numId w:val="18"/>
        </w:numPr>
        <w:jc w:val="both"/>
        <w:rPr>
          <w:szCs w:val="24"/>
        </w:rPr>
      </w:pPr>
      <w:r w:rsidRPr="0036056C">
        <w:rPr>
          <w:szCs w:val="24"/>
        </w:rPr>
        <w:t>Provide more references to managing flood risk and environmental improvements (Environment Agency)</w:t>
      </w:r>
    </w:p>
    <w:p w14:paraId="5828D93B" w14:textId="77777777" w:rsidR="00353130" w:rsidRPr="00353130" w:rsidRDefault="00353130" w:rsidP="006232B3">
      <w:pPr>
        <w:ind w:left="720"/>
        <w:jc w:val="both"/>
        <w:rPr>
          <w:i/>
          <w:iCs/>
          <w:szCs w:val="24"/>
        </w:rPr>
      </w:pPr>
      <w:r w:rsidRPr="00353130">
        <w:rPr>
          <w:i/>
          <w:iCs/>
          <w:szCs w:val="24"/>
        </w:rPr>
        <w:t>Added references to managing flood risk and environmental improvements, including in the Objectives and Development Principles</w:t>
      </w:r>
    </w:p>
    <w:p w14:paraId="0A9ACB06" w14:textId="6F6B5402" w:rsidR="00353130" w:rsidRDefault="00353130" w:rsidP="006232B3">
      <w:pPr>
        <w:ind w:left="720"/>
        <w:jc w:val="both"/>
        <w:rPr>
          <w:szCs w:val="24"/>
        </w:rPr>
      </w:pPr>
    </w:p>
    <w:p w14:paraId="40FB967B" w14:textId="44D5F4B0" w:rsidR="0036056C" w:rsidRDefault="0036056C" w:rsidP="006232B3">
      <w:pPr>
        <w:numPr>
          <w:ilvl w:val="0"/>
          <w:numId w:val="18"/>
        </w:numPr>
        <w:jc w:val="both"/>
        <w:rPr>
          <w:szCs w:val="24"/>
        </w:rPr>
      </w:pPr>
      <w:r w:rsidRPr="0036056C">
        <w:rPr>
          <w:szCs w:val="24"/>
        </w:rPr>
        <w:t>Strengthen references to tackling climate change (Environment Agency)</w:t>
      </w:r>
    </w:p>
    <w:p w14:paraId="26CA115D" w14:textId="77777777" w:rsidR="000B639C" w:rsidRPr="000B639C" w:rsidRDefault="000B639C" w:rsidP="006232B3">
      <w:pPr>
        <w:ind w:left="720"/>
        <w:jc w:val="both"/>
        <w:rPr>
          <w:i/>
          <w:iCs/>
          <w:szCs w:val="24"/>
        </w:rPr>
      </w:pPr>
      <w:r w:rsidRPr="000B639C">
        <w:rPr>
          <w:i/>
          <w:iCs/>
          <w:szCs w:val="24"/>
        </w:rPr>
        <w:t>More reference to climate change in the Context chapter and the Development Principles</w:t>
      </w:r>
    </w:p>
    <w:p w14:paraId="43FD483E" w14:textId="77777777" w:rsidR="00353130" w:rsidRPr="0036056C" w:rsidRDefault="00353130" w:rsidP="006232B3">
      <w:pPr>
        <w:ind w:left="720"/>
        <w:jc w:val="both"/>
        <w:rPr>
          <w:szCs w:val="24"/>
        </w:rPr>
      </w:pPr>
    </w:p>
    <w:p w14:paraId="67A67EAE" w14:textId="5C31BFA4" w:rsidR="002C4A1C" w:rsidRDefault="002C4A1C" w:rsidP="006232B3">
      <w:pPr>
        <w:numPr>
          <w:ilvl w:val="0"/>
          <w:numId w:val="18"/>
        </w:numPr>
        <w:jc w:val="both"/>
        <w:rPr>
          <w:szCs w:val="24"/>
        </w:rPr>
      </w:pPr>
      <w:r w:rsidRPr="002C4A1C">
        <w:rPr>
          <w:szCs w:val="24"/>
        </w:rPr>
        <w:t>Additional and improved references to heritage assets in the area (Historic England, Historic England Archaeology, residents).</w:t>
      </w:r>
    </w:p>
    <w:p w14:paraId="7E4C0354" w14:textId="77777777" w:rsidR="000B639C" w:rsidRPr="000B639C" w:rsidRDefault="000B639C" w:rsidP="006232B3">
      <w:pPr>
        <w:ind w:left="720"/>
        <w:jc w:val="both"/>
        <w:rPr>
          <w:i/>
          <w:iCs/>
          <w:szCs w:val="24"/>
        </w:rPr>
      </w:pPr>
      <w:r w:rsidRPr="000B639C">
        <w:rPr>
          <w:i/>
          <w:iCs/>
          <w:szCs w:val="24"/>
        </w:rPr>
        <w:t>Further reference to heritage assets in the area including archaeology, the opportunities to make better use of heritage assets, and the need to consider context.</w:t>
      </w:r>
    </w:p>
    <w:p w14:paraId="7B91EF0F" w14:textId="288D15A7" w:rsidR="000B639C" w:rsidRDefault="000B639C" w:rsidP="006232B3">
      <w:pPr>
        <w:ind w:left="720"/>
        <w:jc w:val="both"/>
        <w:rPr>
          <w:szCs w:val="24"/>
        </w:rPr>
      </w:pPr>
    </w:p>
    <w:p w14:paraId="79452588" w14:textId="0B7F346F" w:rsidR="002C4A1C" w:rsidRDefault="002C4A1C" w:rsidP="006232B3">
      <w:pPr>
        <w:numPr>
          <w:ilvl w:val="0"/>
          <w:numId w:val="18"/>
        </w:numPr>
        <w:jc w:val="both"/>
        <w:rPr>
          <w:szCs w:val="24"/>
        </w:rPr>
      </w:pPr>
      <w:r w:rsidRPr="002C4A1C">
        <w:rPr>
          <w:szCs w:val="24"/>
        </w:rPr>
        <w:t>Concerns over pressure on community facilities due to the rising population (</w:t>
      </w:r>
      <w:proofErr w:type="gramStart"/>
      <w:r w:rsidRPr="002C4A1C">
        <w:rPr>
          <w:szCs w:val="24"/>
        </w:rPr>
        <w:t>local residents</w:t>
      </w:r>
      <w:proofErr w:type="gramEnd"/>
      <w:r w:rsidRPr="002C4A1C">
        <w:rPr>
          <w:szCs w:val="24"/>
        </w:rPr>
        <w:t>)</w:t>
      </w:r>
    </w:p>
    <w:p w14:paraId="4EA65F31" w14:textId="77777777" w:rsidR="00014D7F" w:rsidRPr="00014D7F" w:rsidRDefault="00014D7F" w:rsidP="006232B3">
      <w:pPr>
        <w:ind w:left="720"/>
        <w:jc w:val="both"/>
        <w:rPr>
          <w:i/>
          <w:iCs/>
          <w:szCs w:val="24"/>
        </w:rPr>
      </w:pPr>
      <w:r w:rsidRPr="00014D7F">
        <w:rPr>
          <w:i/>
          <w:iCs/>
          <w:szCs w:val="24"/>
        </w:rPr>
        <w:t>Strengthen the text on community facilities</w:t>
      </w:r>
    </w:p>
    <w:p w14:paraId="2A0B348F" w14:textId="77777777" w:rsidR="000B639C" w:rsidRPr="002C4A1C" w:rsidRDefault="000B639C" w:rsidP="006232B3">
      <w:pPr>
        <w:ind w:left="720"/>
        <w:jc w:val="both"/>
        <w:rPr>
          <w:szCs w:val="24"/>
        </w:rPr>
      </w:pPr>
    </w:p>
    <w:p w14:paraId="2936FDF9" w14:textId="13FB7CB2" w:rsidR="002C4A1C" w:rsidRDefault="002C4A1C" w:rsidP="006232B3">
      <w:pPr>
        <w:numPr>
          <w:ilvl w:val="0"/>
          <w:numId w:val="18"/>
        </w:numPr>
        <w:jc w:val="both"/>
        <w:rPr>
          <w:szCs w:val="24"/>
        </w:rPr>
      </w:pPr>
      <w:r w:rsidRPr="002C4A1C">
        <w:rPr>
          <w:szCs w:val="24"/>
        </w:rPr>
        <w:t>Should make specific reference to requiring active design (Sport England)</w:t>
      </w:r>
    </w:p>
    <w:p w14:paraId="70495DA8" w14:textId="77777777" w:rsidR="005F1C7D" w:rsidRPr="005F1C7D" w:rsidRDefault="005F1C7D" w:rsidP="006232B3">
      <w:pPr>
        <w:ind w:left="720"/>
        <w:jc w:val="both"/>
        <w:rPr>
          <w:i/>
          <w:iCs/>
          <w:szCs w:val="24"/>
        </w:rPr>
      </w:pPr>
      <w:r w:rsidRPr="005F1C7D">
        <w:rPr>
          <w:i/>
          <w:iCs/>
          <w:szCs w:val="24"/>
        </w:rPr>
        <w:t>Reference Active Design Principle and the Active Design Checklist for development to support health and wellbeing</w:t>
      </w:r>
    </w:p>
    <w:p w14:paraId="31EB6EEA" w14:textId="300ACDF7" w:rsidR="005F1C7D" w:rsidRDefault="005F1C7D" w:rsidP="006232B3">
      <w:pPr>
        <w:ind w:left="720"/>
        <w:jc w:val="both"/>
        <w:rPr>
          <w:szCs w:val="24"/>
        </w:rPr>
      </w:pPr>
    </w:p>
    <w:p w14:paraId="2154D3E9" w14:textId="2D9500F9" w:rsidR="0016584C" w:rsidRDefault="0016584C" w:rsidP="006232B3">
      <w:pPr>
        <w:numPr>
          <w:ilvl w:val="0"/>
          <w:numId w:val="18"/>
        </w:numPr>
        <w:jc w:val="both"/>
        <w:rPr>
          <w:szCs w:val="24"/>
        </w:rPr>
      </w:pPr>
      <w:r w:rsidRPr="0016584C">
        <w:rPr>
          <w:szCs w:val="24"/>
        </w:rPr>
        <w:t>Strengthen references to public safety and Security by Design (Met Police – Designing Out Crime Officer)</w:t>
      </w:r>
    </w:p>
    <w:p w14:paraId="4B1490E0" w14:textId="77777777" w:rsidR="003F3D08" w:rsidRPr="003F3D08" w:rsidRDefault="003F3D08" w:rsidP="006232B3">
      <w:pPr>
        <w:ind w:left="720"/>
        <w:jc w:val="both"/>
        <w:rPr>
          <w:i/>
          <w:iCs/>
          <w:szCs w:val="24"/>
        </w:rPr>
      </w:pPr>
      <w:r w:rsidRPr="003F3D08">
        <w:rPr>
          <w:i/>
          <w:iCs/>
          <w:szCs w:val="24"/>
        </w:rPr>
        <w:lastRenderedPageBreak/>
        <w:t>Provided more detail on the Security by Design approach in the Development Principles</w:t>
      </w:r>
    </w:p>
    <w:p w14:paraId="4853287F" w14:textId="39457A63" w:rsidR="005F1C7D" w:rsidRDefault="005F1C7D" w:rsidP="006232B3">
      <w:pPr>
        <w:ind w:left="720"/>
        <w:jc w:val="both"/>
        <w:rPr>
          <w:szCs w:val="24"/>
        </w:rPr>
      </w:pPr>
    </w:p>
    <w:p w14:paraId="44B66A91" w14:textId="10D6DA22" w:rsidR="006B565B" w:rsidRDefault="0016584C" w:rsidP="006232B3">
      <w:pPr>
        <w:numPr>
          <w:ilvl w:val="0"/>
          <w:numId w:val="18"/>
        </w:numPr>
        <w:jc w:val="both"/>
        <w:rPr>
          <w:szCs w:val="24"/>
        </w:rPr>
      </w:pPr>
      <w:r w:rsidRPr="0016584C">
        <w:rPr>
          <w:szCs w:val="24"/>
        </w:rPr>
        <w:t xml:space="preserve">Requirement to </w:t>
      </w:r>
      <w:r w:rsidR="00892804" w:rsidRPr="0016584C">
        <w:rPr>
          <w:szCs w:val="24"/>
        </w:rPr>
        <w:t>meet</w:t>
      </w:r>
      <w:r w:rsidRPr="0016584C">
        <w:rPr>
          <w:szCs w:val="24"/>
        </w:rPr>
        <w:t xml:space="preserve"> the PHE guidance document (Public Health</w:t>
      </w:r>
      <w:r>
        <w:rPr>
          <w:szCs w:val="24"/>
        </w:rPr>
        <w:t>)</w:t>
      </w:r>
    </w:p>
    <w:p w14:paraId="3AD2BE93" w14:textId="77777777" w:rsidR="003F3D08" w:rsidRPr="003F3D08" w:rsidRDefault="003F3D08" w:rsidP="006232B3">
      <w:pPr>
        <w:ind w:left="720"/>
        <w:jc w:val="both"/>
        <w:rPr>
          <w:i/>
          <w:iCs/>
          <w:szCs w:val="24"/>
        </w:rPr>
      </w:pPr>
      <w:r w:rsidRPr="003F3D08">
        <w:rPr>
          <w:i/>
          <w:iCs/>
          <w:szCs w:val="24"/>
        </w:rPr>
        <w:t>Added reference to meeting the PHE document</w:t>
      </w:r>
    </w:p>
    <w:p w14:paraId="5C616D92" w14:textId="77777777" w:rsidR="003F3D08" w:rsidRDefault="003F3D08" w:rsidP="006232B3">
      <w:pPr>
        <w:ind w:left="720"/>
        <w:jc w:val="both"/>
        <w:rPr>
          <w:szCs w:val="24"/>
        </w:rPr>
      </w:pPr>
    </w:p>
    <w:p w14:paraId="1079FD6F" w14:textId="77777777" w:rsidR="0016584C" w:rsidRPr="0016584C" w:rsidRDefault="0016584C" w:rsidP="006232B3">
      <w:pPr>
        <w:numPr>
          <w:ilvl w:val="0"/>
          <w:numId w:val="18"/>
        </w:numPr>
        <w:jc w:val="both"/>
        <w:rPr>
          <w:szCs w:val="24"/>
        </w:rPr>
      </w:pPr>
      <w:r w:rsidRPr="0016584C">
        <w:rPr>
          <w:szCs w:val="24"/>
        </w:rPr>
        <w:t xml:space="preserve">Young person concerns – Edgware Town Centre does not provide a good offer to young people; need more access to suitable local jobs. </w:t>
      </w:r>
    </w:p>
    <w:p w14:paraId="4A69F9E5" w14:textId="77777777" w:rsidR="003F3D08" w:rsidRPr="003F3D08" w:rsidRDefault="003F3D08" w:rsidP="006232B3">
      <w:pPr>
        <w:ind w:left="720"/>
        <w:jc w:val="both"/>
        <w:rPr>
          <w:i/>
          <w:iCs/>
          <w:szCs w:val="24"/>
        </w:rPr>
      </w:pPr>
      <w:r w:rsidRPr="003F3D08">
        <w:rPr>
          <w:i/>
          <w:iCs/>
          <w:szCs w:val="24"/>
        </w:rPr>
        <w:t xml:space="preserve">Reference the need to making the town centre more appealing to visit for young people. Importance for local jobs for students and young people. </w:t>
      </w:r>
    </w:p>
    <w:p w14:paraId="0E614E84" w14:textId="77777777" w:rsidR="006B565B" w:rsidRPr="006B565B" w:rsidRDefault="006B565B" w:rsidP="0016584C">
      <w:pPr>
        <w:ind w:left="720"/>
        <w:jc w:val="both"/>
        <w:rPr>
          <w:szCs w:val="24"/>
        </w:rPr>
      </w:pPr>
    </w:p>
    <w:p w14:paraId="7468E327" w14:textId="6A1263B3" w:rsidR="00706105" w:rsidRDefault="00E1296A" w:rsidP="00706105">
      <w:pPr>
        <w:ind w:left="567" w:hanging="567"/>
        <w:jc w:val="both"/>
      </w:pPr>
      <w:r>
        <w:t>4</w:t>
      </w:r>
      <w:r w:rsidR="00706105">
        <w:t>.2</w:t>
      </w:r>
      <w:r w:rsidR="00706105">
        <w:tab/>
      </w:r>
      <w:r w:rsidR="003D7ED8">
        <w:t xml:space="preserve">Prior to final publication, the SPD will be subject to desktop publishing to improve its legibility. </w:t>
      </w:r>
      <w:r w:rsidR="00706105" w:rsidRPr="003D7ED8">
        <w:t>It</w:t>
      </w:r>
      <w:r w:rsidR="00706105">
        <w:t xml:space="preserve"> should be noted that some additional, or minor, modifications to the SPD have also been made. These are minor changes that have been made to provide clarity, improve grammar, spelling corrections and factual changes where needed</w:t>
      </w:r>
      <w:r w:rsidR="009E3A0E">
        <w:t xml:space="preserve"> (for example, the document no longer being in draft form, </w:t>
      </w:r>
      <w:r w:rsidR="00E82B5B">
        <w:t>final publication</w:t>
      </w:r>
      <w:r w:rsidR="009E3A0E">
        <w:t xml:space="preserve"> of the London Plan</w:t>
      </w:r>
      <w:r w:rsidR="00E82B5B">
        <w:t xml:space="preserve"> in March 2021</w:t>
      </w:r>
      <w:r w:rsidR="009E3A0E">
        <w:t>)</w:t>
      </w:r>
      <w:r w:rsidR="00706105">
        <w:t>.</w:t>
      </w:r>
    </w:p>
    <w:p w14:paraId="2F9C77EB" w14:textId="77777777" w:rsidR="00361D94" w:rsidRPr="00B96FBE" w:rsidRDefault="00361D94" w:rsidP="00A723AD">
      <w:pPr>
        <w:jc w:val="both"/>
      </w:pPr>
    </w:p>
    <w:p w14:paraId="6D6486E2" w14:textId="5E87B267" w:rsidR="00EA614B" w:rsidRDefault="0051495B" w:rsidP="00EA614B">
      <w:pPr>
        <w:pStyle w:val="Heading2"/>
        <w:keepNext/>
        <w:keepLines/>
        <w:jc w:val="both"/>
      </w:pPr>
      <w:r>
        <w:t>5</w:t>
      </w:r>
      <w:r w:rsidR="001945D9">
        <w:t>.0</w:t>
      </w:r>
      <w:r w:rsidR="001945D9">
        <w:tab/>
      </w:r>
      <w:r w:rsidR="00EA614B">
        <w:t>Options Considered</w:t>
      </w:r>
    </w:p>
    <w:p w14:paraId="44979033" w14:textId="77777777" w:rsidR="00EA614B" w:rsidRDefault="00EA614B" w:rsidP="00EA614B">
      <w:pPr>
        <w:keepNext/>
        <w:keepLines/>
        <w:jc w:val="both"/>
        <w:rPr>
          <w:b/>
          <w:i/>
          <w:szCs w:val="24"/>
        </w:rPr>
      </w:pPr>
    </w:p>
    <w:p w14:paraId="6ADDEC4B" w14:textId="145129B4" w:rsidR="00EE7087" w:rsidRDefault="00EA614B" w:rsidP="00576740">
      <w:pPr>
        <w:ind w:left="567" w:hanging="567"/>
        <w:jc w:val="both"/>
      </w:pPr>
      <w:r>
        <w:rPr>
          <w:szCs w:val="24"/>
        </w:rPr>
        <w:t>5.</w:t>
      </w:r>
      <w:r w:rsidR="001945D9">
        <w:rPr>
          <w:szCs w:val="24"/>
        </w:rPr>
        <w:t>1</w:t>
      </w:r>
      <w:r>
        <w:rPr>
          <w:szCs w:val="24"/>
        </w:rPr>
        <w:tab/>
      </w:r>
      <w:r>
        <w:t>There is one alternative option to the adoption of an SPD which is to do nothing</w:t>
      </w:r>
      <w:r w:rsidR="00E72FD9">
        <w:t xml:space="preserve"> (i.e. not to adopt the amended SPD)</w:t>
      </w:r>
      <w:r>
        <w:t xml:space="preserve">. </w:t>
      </w:r>
      <w:r w:rsidR="0047023D">
        <w:t>I</w:t>
      </w:r>
      <w:r>
        <w:t xml:space="preserve">f the ‘do-nothing’ option was </w:t>
      </w:r>
      <w:r w:rsidR="00E72FD9">
        <w:t xml:space="preserve">pursued </w:t>
      </w:r>
      <w:r>
        <w:t xml:space="preserve">Council officers, the Planning Committee and in certain cases, Planning Inspectors, would continue to exercise judgement when making decisions on specific proposals that </w:t>
      </w:r>
      <w:r w:rsidR="00ED731C">
        <w:t>developers</w:t>
      </w:r>
      <w:r>
        <w:t xml:space="preserve"> put forward, but without the guidance the SPD would provide. However</w:t>
      </w:r>
      <w:r w:rsidR="00F75C2E">
        <w:t>,</w:t>
      </w:r>
      <w:r>
        <w:t xml:space="preserve"> such an approach without this overall agreed framework for future development </w:t>
      </w:r>
      <w:r w:rsidR="009264B9">
        <w:t xml:space="preserve">within Edgware Town </w:t>
      </w:r>
      <w:r w:rsidR="00F75C2E">
        <w:t>Centre</w:t>
      </w:r>
      <w:r w:rsidR="009264B9">
        <w:t xml:space="preserve"> </w:t>
      </w:r>
      <w:r>
        <w:t>may give rise to greater uncertainty</w:t>
      </w:r>
      <w:r w:rsidR="00F368BD">
        <w:t xml:space="preserve"> for both developers </w:t>
      </w:r>
      <w:proofErr w:type="gramStart"/>
      <w:r w:rsidR="00F368BD">
        <w:t>and also</w:t>
      </w:r>
      <w:proofErr w:type="gramEnd"/>
      <w:r w:rsidR="00F368BD">
        <w:t xml:space="preserve"> </w:t>
      </w:r>
      <w:r w:rsidR="00EE7087">
        <w:t>the public,</w:t>
      </w:r>
      <w:r>
        <w:t xml:space="preserve"> and longer decision making</w:t>
      </w:r>
      <w:r w:rsidR="00EE7087">
        <w:t>.</w:t>
      </w:r>
      <w:r>
        <w:t xml:space="preserve"> </w:t>
      </w:r>
    </w:p>
    <w:p w14:paraId="73B1FAAE" w14:textId="77777777" w:rsidR="006E797A" w:rsidRDefault="006E797A" w:rsidP="00576740">
      <w:pPr>
        <w:ind w:left="567" w:hanging="567"/>
        <w:jc w:val="both"/>
      </w:pPr>
    </w:p>
    <w:p w14:paraId="102E6CC7" w14:textId="5C4D5AF7" w:rsidR="00171460" w:rsidRPr="0037633A" w:rsidRDefault="007A07C5" w:rsidP="0037633A">
      <w:pPr>
        <w:ind w:left="567" w:hanging="567"/>
        <w:jc w:val="both"/>
      </w:pPr>
      <w:r>
        <w:t>5.2</w:t>
      </w:r>
      <w:r>
        <w:tab/>
      </w:r>
      <w:r w:rsidR="000A73AA">
        <w:t xml:space="preserve">The </w:t>
      </w:r>
      <w:r w:rsidR="006E797A">
        <w:t>absence</w:t>
      </w:r>
      <w:r w:rsidR="000A73AA">
        <w:t xml:space="preserve"> of </w:t>
      </w:r>
      <w:proofErr w:type="gramStart"/>
      <w:r w:rsidR="000A73AA">
        <w:t>a</w:t>
      </w:r>
      <w:proofErr w:type="gramEnd"/>
      <w:r w:rsidR="000A73AA">
        <w:t xml:space="preserve"> SPD </w:t>
      </w:r>
      <w:r w:rsidR="0037633A">
        <w:t>would</w:t>
      </w:r>
      <w:r w:rsidR="000A73AA">
        <w:t xml:space="preserve"> not allow for the more strate</w:t>
      </w:r>
      <w:r w:rsidR="006E797A">
        <w:t>gic</w:t>
      </w:r>
      <w:r w:rsidR="00D91575">
        <w:t xml:space="preserve"> consideration of the Edgware Town Centre as a whole, including giving guidance on key land u</w:t>
      </w:r>
      <w:r w:rsidR="00596618">
        <w:t>s</w:t>
      </w:r>
      <w:r w:rsidR="00D91575">
        <w:t xml:space="preserve">e principles, </w:t>
      </w:r>
      <w:r w:rsidR="0058583F">
        <w:t xml:space="preserve">scale of development, approach to </w:t>
      </w:r>
      <w:r w:rsidR="006F012C">
        <w:t>public realm</w:t>
      </w:r>
      <w:r w:rsidR="006B03D3">
        <w:t>, transportation infrastructure</w:t>
      </w:r>
      <w:r w:rsidR="006F012C">
        <w:t xml:space="preserve"> and landscaping</w:t>
      </w:r>
      <w:r w:rsidR="007C08E7">
        <w:t xml:space="preserve">. Specifically, </w:t>
      </w:r>
      <w:r w:rsidR="00226FBE">
        <w:t xml:space="preserve">without an agreed framework as set out in the SPD, there would not be </w:t>
      </w:r>
      <w:r w:rsidR="007C08E7">
        <w:t>a consistent and coherent approach across both boroughs</w:t>
      </w:r>
      <w:r w:rsidR="00260707">
        <w:t xml:space="preserve">. </w:t>
      </w:r>
      <w:r w:rsidR="000C573F">
        <w:t xml:space="preserve">The comments </w:t>
      </w:r>
      <w:r w:rsidR="007E64E1">
        <w:t>received</w:t>
      </w:r>
      <w:r w:rsidR="000C573F">
        <w:t xml:space="preserve"> as part of the cons</w:t>
      </w:r>
      <w:r w:rsidR="007A66CF">
        <w:t>u</w:t>
      </w:r>
      <w:r w:rsidR="000C573F">
        <w:t>ltat</w:t>
      </w:r>
      <w:r w:rsidR="007A66CF">
        <w:t>io</w:t>
      </w:r>
      <w:r w:rsidR="000C573F">
        <w:t xml:space="preserve">n and the </w:t>
      </w:r>
      <w:r w:rsidR="007A66CF">
        <w:t>proposed</w:t>
      </w:r>
      <w:r w:rsidR="000C573F">
        <w:t xml:space="preserve"> amendments to the SPD, will still ensure that the objectives for undertaking the SPD would be </w:t>
      </w:r>
      <w:r w:rsidR="00D85097">
        <w:t>achieved</w:t>
      </w:r>
      <w:r w:rsidR="000C573F">
        <w:t xml:space="preserve">. </w:t>
      </w:r>
    </w:p>
    <w:p w14:paraId="600FCD28" w14:textId="77777777" w:rsidR="00EA6935" w:rsidRPr="00141348" w:rsidRDefault="00EA6935" w:rsidP="001C7E35">
      <w:pPr>
        <w:tabs>
          <w:tab w:val="left" w:pos="7245"/>
        </w:tabs>
        <w:rPr>
          <w:i/>
        </w:rPr>
      </w:pPr>
    </w:p>
    <w:p w14:paraId="26D55DDE" w14:textId="273BAB15" w:rsidR="001B359A" w:rsidRPr="00141348" w:rsidRDefault="001B359A" w:rsidP="001B359A">
      <w:pPr>
        <w:pStyle w:val="Heading4"/>
        <w:rPr>
          <w:szCs w:val="24"/>
        </w:rPr>
      </w:pPr>
      <w:r w:rsidRPr="00141348">
        <w:rPr>
          <w:szCs w:val="24"/>
        </w:rPr>
        <w:t>Performance Issues</w:t>
      </w:r>
    </w:p>
    <w:p w14:paraId="372BCFF3" w14:textId="77777777" w:rsidR="001B359A" w:rsidRPr="00B96FBE" w:rsidRDefault="001B359A" w:rsidP="00EA6935">
      <w:pPr>
        <w:jc w:val="both"/>
      </w:pPr>
    </w:p>
    <w:p w14:paraId="593E6094" w14:textId="18383DD6" w:rsidR="00EA6935" w:rsidRPr="00B96FBE" w:rsidRDefault="00E56D1A" w:rsidP="00BB75BE">
      <w:pPr>
        <w:ind w:left="426" w:hanging="426"/>
        <w:jc w:val="both"/>
      </w:pPr>
      <w:r>
        <w:t>5.3</w:t>
      </w:r>
      <w:r w:rsidR="00EA6935" w:rsidRPr="00B96FBE">
        <w:tab/>
        <w:t xml:space="preserve">The </w:t>
      </w:r>
      <w:r w:rsidR="00D85097">
        <w:t>London Borough of Harrow</w:t>
      </w:r>
      <w:r w:rsidR="001333C2">
        <w:t xml:space="preserve">’s </w:t>
      </w:r>
      <w:r w:rsidR="00EA6935" w:rsidRPr="00B96FBE">
        <w:t>adopted Core Strategy contains a detailed schedule of monitoring indicators, with associated targets, triggers and contingency actions, to ensure that the delivery of Harrow’s spatial vision remains on track (and if necessary, brought back on track) throughout the plan period (2009-2026). These indicators are monitored through the continuing publication of the Authority’s Monitoring Report (AMR).</w:t>
      </w:r>
    </w:p>
    <w:p w14:paraId="490C00EE" w14:textId="77777777" w:rsidR="00EA6935" w:rsidRPr="00B96FBE" w:rsidRDefault="00EA6935" w:rsidP="00EA6935"/>
    <w:p w14:paraId="6C8C8B44" w14:textId="0EE5C3B7" w:rsidR="00EA6935" w:rsidRPr="00B96FBE" w:rsidRDefault="00E56D1A" w:rsidP="00F05485">
      <w:pPr>
        <w:ind w:left="426" w:hanging="426"/>
        <w:jc w:val="both"/>
      </w:pPr>
      <w:r>
        <w:lastRenderedPageBreak/>
        <w:t>5.4</w:t>
      </w:r>
      <w:r w:rsidR="00EA6935" w:rsidRPr="00B96FBE">
        <w:tab/>
        <w:t xml:space="preserve">The purpose of the proposed SPD is to </w:t>
      </w:r>
      <w:r w:rsidR="00DE578D" w:rsidRPr="00B96FBE">
        <w:t xml:space="preserve">assist Harrow </w:t>
      </w:r>
      <w:r w:rsidR="00EF19A5" w:rsidRPr="00B96FBE">
        <w:t>(&amp; LB Barnet) in firstly meeting the delivery of housing that is set for each of the boroughs within the London Plan (20</w:t>
      </w:r>
      <w:r w:rsidR="00F31939">
        <w:t>21</w:t>
      </w:r>
      <w:r w:rsidR="00EF19A5" w:rsidRPr="00B96FBE">
        <w:t>)</w:t>
      </w:r>
      <w:r w:rsidR="00610A6A" w:rsidRPr="00B96FBE">
        <w:t xml:space="preserve">. Furthermore, it will also seek to enhance the town centre offer for residents, whereby ensuring the vitality and vibrancy of the centre. This must be achieved whilst ensuring the preservation of </w:t>
      </w:r>
      <w:proofErr w:type="gramStart"/>
      <w:r w:rsidR="00610A6A" w:rsidRPr="00B96FBE">
        <w:t>a number of</w:t>
      </w:r>
      <w:proofErr w:type="gramEnd"/>
      <w:r w:rsidR="00610A6A" w:rsidRPr="00B96FBE">
        <w:t xml:space="preserve"> heritage assets within the SPD area. Again, there are </w:t>
      </w:r>
      <w:proofErr w:type="gramStart"/>
      <w:r w:rsidR="00610A6A" w:rsidRPr="00B96FBE">
        <w:t>a number of</w:t>
      </w:r>
      <w:proofErr w:type="gramEnd"/>
      <w:r w:rsidR="00610A6A" w:rsidRPr="00B96FBE">
        <w:t xml:space="preserve"> targets within the AMR that relate to these matters. </w:t>
      </w:r>
      <w:r w:rsidR="00EA6935" w:rsidRPr="00B96FBE">
        <w:t>These indicators will therefore be used to monitor the impact of this SPD.</w:t>
      </w:r>
    </w:p>
    <w:p w14:paraId="66C7A39D" w14:textId="77777777" w:rsidR="00EA6935" w:rsidRPr="00141348" w:rsidRDefault="00EA6935" w:rsidP="001C7E35">
      <w:pPr>
        <w:tabs>
          <w:tab w:val="left" w:pos="7245"/>
        </w:tabs>
        <w:rPr>
          <w:i/>
          <w:highlight w:val="yellow"/>
        </w:rPr>
      </w:pPr>
    </w:p>
    <w:p w14:paraId="13DCBE3E" w14:textId="77777777" w:rsidR="00EA6935" w:rsidRPr="00141348" w:rsidRDefault="00EA6935" w:rsidP="001C7E35">
      <w:pPr>
        <w:tabs>
          <w:tab w:val="left" w:pos="7245"/>
        </w:tabs>
        <w:rPr>
          <w:i/>
          <w:highlight w:val="yellow"/>
        </w:rPr>
      </w:pPr>
    </w:p>
    <w:p w14:paraId="167AFBD6" w14:textId="77777777" w:rsidR="00333FAA" w:rsidRPr="00141348" w:rsidRDefault="00333FAA" w:rsidP="0054590F">
      <w:pPr>
        <w:pStyle w:val="Heading4"/>
        <w:rPr>
          <w:szCs w:val="24"/>
        </w:rPr>
      </w:pPr>
      <w:r w:rsidRPr="00141348">
        <w:rPr>
          <w:szCs w:val="24"/>
        </w:rPr>
        <w:t>Environmental Implications</w:t>
      </w:r>
    </w:p>
    <w:p w14:paraId="46362980" w14:textId="77777777" w:rsidR="000929A6" w:rsidRPr="00141348" w:rsidRDefault="000929A6" w:rsidP="001C7E35">
      <w:pPr>
        <w:rPr>
          <w:i/>
        </w:rPr>
      </w:pPr>
    </w:p>
    <w:p w14:paraId="26E2DF7B" w14:textId="19A86561" w:rsidR="00610A6A" w:rsidRPr="00B96FBE" w:rsidRDefault="00E56D1A" w:rsidP="00F05485">
      <w:pPr>
        <w:ind w:left="426" w:hanging="426"/>
        <w:jc w:val="both"/>
      </w:pPr>
      <w:r>
        <w:t>5.5</w:t>
      </w:r>
      <w:r w:rsidR="00EA6935" w:rsidRPr="00B96FBE">
        <w:tab/>
        <w:t>Sustainability appraisal</w:t>
      </w:r>
      <w:r w:rsidR="003B55E1" w:rsidRPr="00B96FBE">
        <w:t>s</w:t>
      </w:r>
      <w:r w:rsidR="00EA6935" w:rsidRPr="00B96FBE">
        <w:t xml:space="preserve"> </w:t>
      </w:r>
      <w:r w:rsidR="003B55E1" w:rsidRPr="00B96FBE">
        <w:t xml:space="preserve">for </w:t>
      </w:r>
      <w:r w:rsidR="00EA6935" w:rsidRPr="00B96FBE">
        <w:t xml:space="preserve">supplementary planning documents </w:t>
      </w:r>
      <w:r w:rsidR="003B55E1" w:rsidRPr="00B96FBE">
        <w:t xml:space="preserve">are only required in exceptional circumstances, </w:t>
      </w:r>
      <w:r w:rsidR="00EA6935" w:rsidRPr="00B96FBE">
        <w:t xml:space="preserve">but the Council must still consider whether there is a requirement for strategic environmental assessment (SEA). The proposed SPD does not (cannot) introduce new policy but simply supplements </w:t>
      </w:r>
      <w:r w:rsidR="00135101">
        <w:t>/ guides new</w:t>
      </w:r>
      <w:r w:rsidR="00135101" w:rsidRPr="00B96FBE">
        <w:t xml:space="preserve"> </w:t>
      </w:r>
      <w:r w:rsidR="00610A6A" w:rsidRPr="00B96FBE">
        <w:t xml:space="preserve">development within </w:t>
      </w:r>
      <w:r w:rsidR="00876F46">
        <w:t xml:space="preserve">the </w:t>
      </w:r>
      <w:r w:rsidR="00610A6A" w:rsidRPr="00B96FBE">
        <w:t>designated town centre (and wider) and adopted town centre policies within the Local Plan.</w:t>
      </w:r>
    </w:p>
    <w:p w14:paraId="68A42C33" w14:textId="77777777" w:rsidR="00887E14" w:rsidRPr="00B96FBE" w:rsidRDefault="00887E14" w:rsidP="00EA6935">
      <w:pPr>
        <w:jc w:val="both"/>
      </w:pPr>
    </w:p>
    <w:p w14:paraId="7D409B68" w14:textId="587588DA" w:rsidR="00EA6935" w:rsidRPr="00B96FBE" w:rsidRDefault="00E56D1A" w:rsidP="00F05485">
      <w:pPr>
        <w:ind w:left="426" w:hanging="426"/>
        <w:jc w:val="both"/>
        <w:rPr>
          <w:highlight w:val="yellow"/>
        </w:rPr>
      </w:pPr>
      <w:r>
        <w:t>5.6</w:t>
      </w:r>
      <w:r w:rsidR="00015351" w:rsidRPr="00B96FBE">
        <w:t xml:space="preserve"> </w:t>
      </w:r>
      <w:r w:rsidR="002A40DD" w:rsidRPr="00B96FBE">
        <w:t xml:space="preserve">LB Barnet as the lead author of the SPD, has undertaken a Sustainability Appraisal Scoping Report, which seeks to determine </w:t>
      </w:r>
      <w:r w:rsidR="00913178" w:rsidRPr="00B96FBE">
        <w:t xml:space="preserve">the scope and level of detail of the information to be </w:t>
      </w:r>
      <w:r w:rsidR="003A0D7B" w:rsidRPr="00B96FBE">
        <w:t>included</w:t>
      </w:r>
      <w:r w:rsidR="00913178" w:rsidRPr="00B96FBE">
        <w:t xml:space="preserve"> in the sustainability appraisal report. </w:t>
      </w:r>
      <w:r w:rsidR="007D38A4" w:rsidRPr="00B96FBE">
        <w:t xml:space="preserve">This document has been produced as </w:t>
      </w:r>
      <w:r w:rsidR="007D38A4" w:rsidRPr="00B96FBE">
        <w:rPr>
          <w:rFonts w:cs="Arial"/>
          <w:szCs w:val="24"/>
        </w:rPr>
        <w:t>Barnet’s Core Strategy policies (2012) were not subjected to a SA. A SA is therefore required for this SPD to test how well the planning document considers the social, environmental and economic issues in order to achieve sustainable development</w:t>
      </w:r>
      <w:r w:rsidR="004E43CE">
        <w:rPr>
          <w:rFonts w:cs="Arial"/>
          <w:szCs w:val="24"/>
        </w:rPr>
        <w:t>.</w:t>
      </w:r>
    </w:p>
    <w:p w14:paraId="3296E0CA" w14:textId="77777777" w:rsidR="00405A28" w:rsidRPr="00B96FBE" w:rsidRDefault="00405A28" w:rsidP="00EA6935">
      <w:pPr>
        <w:jc w:val="both"/>
        <w:rPr>
          <w:highlight w:val="yellow"/>
        </w:rPr>
      </w:pPr>
    </w:p>
    <w:p w14:paraId="613A7089" w14:textId="3EA775A6" w:rsidR="00405A28" w:rsidRPr="00B96FBE" w:rsidRDefault="00310173" w:rsidP="004E43CE">
      <w:pPr>
        <w:ind w:left="426" w:hanging="426"/>
        <w:jc w:val="both"/>
      </w:pPr>
      <w:r>
        <w:t>5.7</w:t>
      </w:r>
      <w:r w:rsidR="004E43CE">
        <w:tab/>
      </w:r>
      <w:r w:rsidR="007D38A4" w:rsidRPr="00B96FBE">
        <w:t xml:space="preserve">The Harrow Core Strategy (2012) </w:t>
      </w:r>
      <w:r w:rsidR="005377C6" w:rsidRPr="00B96FBE">
        <w:t xml:space="preserve">and the policies contained within it were </w:t>
      </w:r>
      <w:r w:rsidR="007D38A4" w:rsidRPr="00B96FBE">
        <w:t xml:space="preserve">subject to a Sustainability </w:t>
      </w:r>
      <w:r w:rsidR="005377C6" w:rsidRPr="00B96FBE">
        <w:t>Appraisal</w:t>
      </w:r>
      <w:r w:rsidR="007D38A4" w:rsidRPr="00B96FBE">
        <w:t xml:space="preserve">. However, given that the </w:t>
      </w:r>
      <w:r w:rsidR="005377C6" w:rsidRPr="00B96FBE">
        <w:t>SPD would span both the Barnet and Harrow, a Sustainability Appraisal Scoping Report is required.</w:t>
      </w:r>
      <w:r w:rsidR="005377C6" w:rsidRPr="00B96FBE" w:rsidDel="005377C6">
        <w:t xml:space="preserve"> </w:t>
      </w:r>
    </w:p>
    <w:p w14:paraId="19FC18BB" w14:textId="77777777" w:rsidR="00405A28" w:rsidRPr="00B96FBE" w:rsidRDefault="00405A28" w:rsidP="00EA6935">
      <w:pPr>
        <w:jc w:val="both"/>
        <w:rPr>
          <w:highlight w:val="yellow"/>
        </w:rPr>
      </w:pPr>
    </w:p>
    <w:p w14:paraId="774D730E" w14:textId="77777777" w:rsidR="00B1160D" w:rsidRPr="00B96FBE" w:rsidRDefault="00B1160D" w:rsidP="001C7E35">
      <w:pPr>
        <w:rPr>
          <w:highlight w:val="yellow"/>
        </w:rPr>
      </w:pPr>
    </w:p>
    <w:p w14:paraId="7143D7F8" w14:textId="77777777" w:rsidR="002A3FEF" w:rsidRPr="00141348" w:rsidRDefault="002A3FEF" w:rsidP="002A3FEF">
      <w:pPr>
        <w:pStyle w:val="Heading4"/>
        <w:rPr>
          <w:szCs w:val="24"/>
        </w:rPr>
      </w:pPr>
      <w:r w:rsidRPr="00141348">
        <w:rPr>
          <w:szCs w:val="24"/>
        </w:rPr>
        <w:t>Dat</w:t>
      </w:r>
      <w:r w:rsidR="00DE72CF" w:rsidRPr="00141348">
        <w:rPr>
          <w:szCs w:val="24"/>
        </w:rPr>
        <w:t>a</w:t>
      </w:r>
      <w:r w:rsidRPr="00141348">
        <w:rPr>
          <w:szCs w:val="24"/>
        </w:rPr>
        <w:t xml:space="preserve"> Protection Implications</w:t>
      </w:r>
    </w:p>
    <w:p w14:paraId="7AA48668" w14:textId="64F3EE16" w:rsidR="002A3FEF" w:rsidRPr="00CA7601" w:rsidRDefault="002A3FEF" w:rsidP="002A3FEF">
      <w:pPr>
        <w:rPr>
          <w:i/>
          <w:color w:val="FF0000"/>
        </w:rPr>
      </w:pPr>
    </w:p>
    <w:p w14:paraId="14C5390C" w14:textId="1FD51356" w:rsidR="00171460" w:rsidRPr="00B96FBE" w:rsidRDefault="007A251E" w:rsidP="006232B3">
      <w:pPr>
        <w:jc w:val="both"/>
      </w:pPr>
      <w:r w:rsidRPr="00CA7601">
        <w:t>Consult</w:t>
      </w:r>
      <w:r w:rsidR="00DB0956" w:rsidRPr="00CA7601">
        <w:t xml:space="preserve">ation </w:t>
      </w:r>
      <w:r w:rsidR="00846866">
        <w:t>was</w:t>
      </w:r>
      <w:r w:rsidR="00DB0956" w:rsidRPr="00CA7601">
        <w:t xml:space="preserve"> undertaken in a manner </w:t>
      </w:r>
      <w:r w:rsidR="00DB0956" w:rsidRPr="00B96FBE">
        <w:t xml:space="preserve">that complies with the relevant </w:t>
      </w:r>
      <w:r w:rsidR="007E52AE" w:rsidRPr="00B96FBE">
        <w:t>requirements</w:t>
      </w:r>
      <w:r w:rsidR="003C00EE" w:rsidRPr="00B96FBE">
        <w:t xml:space="preserve"> of the </w:t>
      </w:r>
      <w:r w:rsidR="007E52AE" w:rsidRPr="00B96FBE">
        <w:t>General Data Protection Requirements, including the collection, processing, retention</w:t>
      </w:r>
      <w:r w:rsidR="008267BB" w:rsidRPr="00B96FBE">
        <w:t xml:space="preserve"> and disposal of personal data of those responding</w:t>
      </w:r>
      <w:r w:rsidR="007E52AE" w:rsidRPr="00B96FBE">
        <w:t>.</w:t>
      </w:r>
    </w:p>
    <w:p w14:paraId="6D2A3F2C" w14:textId="77777777" w:rsidR="00F01670" w:rsidRPr="00B96FBE" w:rsidRDefault="00F01670" w:rsidP="001C7E35"/>
    <w:p w14:paraId="08C67592" w14:textId="77777777" w:rsidR="00A81E19" w:rsidRPr="00B96FBE" w:rsidRDefault="00A81E19" w:rsidP="00A81E19">
      <w:pPr>
        <w:pStyle w:val="Heading2"/>
      </w:pPr>
      <w:r w:rsidRPr="00B96FBE">
        <w:t>Risk Management Implications</w:t>
      </w:r>
    </w:p>
    <w:p w14:paraId="40991BCF" w14:textId="77777777" w:rsidR="00A81E19" w:rsidRPr="00B96FBE" w:rsidRDefault="00A81E19" w:rsidP="00A81E19">
      <w:pPr>
        <w:pStyle w:val="Heading4"/>
        <w:rPr>
          <w:b w:val="0"/>
        </w:rPr>
      </w:pPr>
    </w:p>
    <w:p w14:paraId="743DA675" w14:textId="77777777" w:rsidR="00A81E19" w:rsidRPr="00141348" w:rsidRDefault="00A81E19" w:rsidP="00A81E19">
      <w:pPr>
        <w:tabs>
          <w:tab w:val="left" w:pos="5610"/>
        </w:tabs>
        <w:ind w:right="81"/>
        <w:rPr>
          <w:rFonts w:cs="Arial"/>
          <w:szCs w:val="24"/>
        </w:rPr>
      </w:pPr>
      <w:r w:rsidRPr="00141348">
        <w:rPr>
          <w:rFonts w:cs="Arial"/>
          <w:szCs w:val="24"/>
        </w:rPr>
        <w:t xml:space="preserve">Risk included on Directorate risk </w:t>
      </w:r>
      <w:proofErr w:type="gramStart"/>
      <w:r w:rsidRPr="00141348">
        <w:rPr>
          <w:rFonts w:cs="Arial"/>
          <w:szCs w:val="24"/>
        </w:rPr>
        <w:t>register?</w:t>
      </w:r>
      <w:proofErr w:type="gramEnd"/>
      <w:r w:rsidRPr="00141348">
        <w:rPr>
          <w:rFonts w:cs="Arial"/>
          <w:szCs w:val="24"/>
        </w:rPr>
        <w:t xml:space="preserve">  No</w:t>
      </w:r>
      <w:r w:rsidRPr="00141348">
        <w:rPr>
          <w:rFonts w:cs="Arial"/>
          <w:szCs w:val="24"/>
        </w:rPr>
        <w:tab/>
      </w:r>
    </w:p>
    <w:p w14:paraId="7C27C458" w14:textId="77777777" w:rsidR="00A81E19" w:rsidRPr="00141348" w:rsidRDefault="00A81E19" w:rsidP="00A81E19">
      <w:pPr>
        <w:ind w:right="141"/>
        <w:rPr>
          <w:rFonts w:cs="Arial"/>
          <w:szCs w:val="24"/>
          <w:lang w:eastAsia="en-GB"/>
        </w:rPr>
      </w:pPr>
      <w:r w:rsidRPr="00141348">
        <w:rPr>
          <w:rFonts w:cs="Arial"/>
          <w:szCs w:val="24"/>
          <w:lang w:eastAsia="en-GB"/>
        </w:rPr>
        <w:t>Separate risk register in place?  No</w:t>
      </w:r>
      <w:r w:rsidRPr="00141348">
        <w:rPr>
          <w:rFonts w:cs="Arial"/>
          <w:szCs w:val="24"/>
          <w:lang w:eastAsia="en-GB"/>
        </w:rPr>
        <w:tab/>
      </w:r>
    </w:p>
    <w:p w14:paraId="1CA46F43" w14:textId="241C8A0E" w:rsidR="002A3FEF" w:rsidRDefault="002A3FEF" w:rsidP="00A81E19">
      <w:pPr>
        <w:ind w:right="141"/>
        <w:rPr>
          <w:rFonts w:cs="Arial"/>
          <w:szCs w:val="24"/>
          <w:lang w:eastAsia="en-GB"/>
        </w:rPr>
      </w:pPr>
    </w:p>
    <w:p w14:paraId="70D1AEF4" w14:textId="77777777" w:rsidR="00EA0C13" w:rsidRDefault="00EA0C13" w:rsidP="00EA0C13">
      <w:pPr>
        <w:tabs>
          <w:tab w:val="left" w:pos="5610"/>
        </w:tabs>
        <w:ind w:right="81"/>
        <w:rPr>
          <w:rFonts w:cs="Arial"/>
          <w:szCs w:val="24"/>
          <w:lang w:val="en-US" w:eastAsia="en-GB"/>
        </w:rPr>
      </w:pPr>
      <w:r>
        <w:t xml:space="preserve">The relevant risks contained in the register are attached/summarised below. </w:t>
      </w:r>
      <w:r>
        <w:rPr>
          <w:rFonts w:cs="Arial"/>
          <w:b/>
          <w:bCs/>
          <w:szCs w:val="24"/>
          <w:lang w:val="en-US" w:eastAsia="en-GB"/>
        </w:rPr>
        <w:t>n/a</w:t>
      </w:r>
    </w:p>
    <w:p w14:paraId="3731C27F" w14:textId="77777777" w:rsidR="00EA0C13" w:rsidRDefault="00EA0C13" w:rsidP="00EA0C13">
      <w:pPr>
        <w:ind w:left="-567"/>
        <w:jc w:val="both"/>
      </w:pPr>
    </w:p>
    <w:p w14:paraId="0AFF65B8" w14:textId="77777777" w:rsidR="00EA0C13" w:rsidRPr="00F16E18" w:rsidRDefault="00EA0C13" w:rsidP="00EA0C13">
      <w:pPr>
        <w:ind w:left="-567"/>
        <w:jc w:val="both"/>
      </w:pPr>
      <w:r>
        <w:tab/>
      </w:r>
      <w:r w:rsidRPr="00F16E18">
        <w:t xml:space="preserve">The following key risks should be taken onto account when agreeing the </w:t>
      </w:r>
      <w:r>
        <w:tab/>
      </w:r>
      <w:r w:rsidRPr="00F16E18">
        <w:t>recommendations in this report:</w:t>
      </w:r>
    </w:p>
    <w:p w14:paraId="75E90D5B" w14:textId="08B246D6" w:rsidR="00817F85" w:rsidRDefault="00817F85" w:rsidP="00A81E19">
      <w:pPr>
        <w:ind w:right="141"/>
        <w:rPr>
          <w:rFonts w:cs="Arial"/>
          <w:szCs w:val="24"/>
          <w:lang w:eastAsia="en-GB"/>
        </w:rPr>
      </w:pPr>
    </w:p>
    <w:tbl>
      <w:tblPr>
        <w:tblW w:w="8646" w:type="dxa"/>
        <w:tblInd w:w="-5" w:type="dxa"/>
        <w:tblCellMar>
          <w:left w:w="10" w:type="dxa"/>
          <w:right w:w="10" w:type="dxa"/>
        </w:tblCellMar>
        <w:tblLook w:val="0000" w:firstRow="0" w:lastRow="0" w:firstColumn="0" w:lastColumn="0" w:noHBand="0" w:noVBand="0"/>
      </w:tblPr>
      <w:tblGrid>
        <w:gridCol w:w="3260"/>
        <w:gridCol w:w="4490"/>
        <w:gridCol w:w="896"/>
      </w:tblGrid>
      <w:tr w:rsidR="00817F85" w14:paraId="042C624B" w14:textId="77777777" w:rsidTr="00EA499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00929" w14:textId="77777777" w:rsidR="00817F85" w:rsidRDefault="00817F85" w:rsidP="00F70B2F">
            <w:pPr>
              <w:keepNext/>
              <w:ind w:right="142"/>
              <w:rPr>
                <w:rFonts w:cs="Arial"/>
                <w:b/>
                <w:bCs/>
                <w:szCs w:val="24"/>
                <w:lang w:val="en-US" w:eastAsia="en-GB"/>
              </w:rPr>
            </w:pPr>
            <w:r>
              <w:rPr>
                <w:rFonts w:cs="Arial"/>
                <w:b/>
                <w:bCs/>
                <w:szCs w:val="24"/>
                <w:lang w:val="en-US" w:eastAsia="en-GB"/>
              </w:rPr>
              <w:lastRenderedPageBreak/>
              <w:t xml:space="preserve">Risk Description </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C36D9" w14:textId="77777777" w:rsidR="00817F85" w:rsidRDefault="00817F85" w:rsidP="00F70B2F">
            <w:pPr>
              <w:keepNext/>
              <w:ind w:right="142"/>
              <w:rPr>
                <w:rFonts w:cs="Arial"/>
                <w:b/>
                <w:bCs/>
                <w:szCs w:val="24"/>
                <w:lang w:val="en-US" w:eastAsia="en-GB"/>
              </w:rPr>
            </w:pPr>
            <w:r>
              <w:rPr>
                <w:rFonts w:cs="Arial"/>
                <w:b/>
                <w:bCs/>
                <w:szCs w:val="24"/>
                <w:lang w:val="en-US" w:eastAsia="en-GB"/>
              </w:rPr>
              <w:t xml:space="preserve">Mitigations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F60EB37" w14:textId="77777777" w:rsidR="00817F85" w:rsidRDefault="00817F85" w:rsidP="00F70B2F">
            <w:pPr>
              <w:keepNext/>
              <w:ind w:right="142"/>
              <w:jc w:val="center"/>
              <w:rPr>
                <w:rFonts w:cs="Arial"/>
                <w:b/>
                <w:bCs/>
                <w:szCs w:val="24"/>
                <w:lang w:val="en-US" w:eastAsia="en-GB"/>
              </w:rPr>
            </w:pPr>
            <w:r>
              <w:rPr>
                <w:rFonts w:cs="Arial"/>
                <w:b/>
                <w:bCs/>
                <w:szCs w:val="24"/>
                <w:lang w:val="en-US" w:eastAsia="en-GB"/>
              </w:rPr>
              <w:t xml:space="preserve">RAG Status </w:t>
            </w:r>
          </w:p>
        </w:tc>
      </w:tr>
      <w:tr w:rsidR="00817F85" w14:paraId="0B999870" w14:textId="77777777" w:rsidTr="00EA499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38B66" w14:textId="5A45035B" w:rsidR="00817F85" w:rsidRDefault="00817F85" w:rsidP="003332F8">
            <w:pPr>
              <w:ind w:right="141"/>
              <w:rPr>
                <w:rFonts w:cs="Arial"/>
                <w:szCs w:val="24"/>
                <w:lang w:val="en-US" w:eastAsia="en-GB"/>
              </w:rPr>
            </w:pPr>
            <w:r>
              <w:rPr>
                <w:rFonts w:cs="Arial"/>
                <w:szCs w:val="24"/>
                <w:lang w:val="en-US" w:eastAsia="en-GB"/>
              </w:rPr>
              <w:t xml:space="preserve">Non-compliance with </w:t>
            </w:r>
            <w:r w:rsidR="00F70B2F">
              <w:rPr>
                <w:rFonts w:cs="Arial"/>
                <w:szCs w:val="24"/>
                <w:lang w:val="en-US" w:eastAsia="en-GB"/>
              </w:rPr>
              <w:t xml:space="preserve">statutory </w:t>
            </w:r>
            <w:r>
              <w:rPr>
                <w:rFonts w:cs="Arial"/>
                <w:szCs w:val="24"/>
                <w:lang w:val="en-US" w:eastAsia="en-GB"/>
              </w:rPr>
              <w:t>requirements for the preparation of the SPD</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78BB7" w14:textId="77777777" w:rsidR="00817F85" w:rsidRDefault="00817F85" w:rsidP="003332F8">
            <w:pPr>
              <w:pStyle w:val="ListParagraph"/>
              <w:numPr>
                <w:ilvl w:val="0"/>
                <w:numId w:val="23"/>
              </w:numPr>
              <w:suppressAutoHyphens/>
              <w:autoSpaceDN w:val="0"/>
              <w:ind w:left="171" w:right="141" w:hanging="171"/>
              <w:textAlignment w:val="baseline"/>
              <w:rPr>
                <w:rFonts w:cs="Arial"/>
                <w:szCs w:val="24"/>
                <w:lang w:val="en-US" w:eastAsia="en-GB"/>
              </w:rPr>
            </w:pPr>
            <w:r>
              <w:rPr>
                <w:rFonts w:cs="Arial"/>
                <w:szCs w:val="24"/>
                <w:lang w:val="en-US" w:eastAsia="en-GB"/>
              </w:rPr>
              <w:t>Public participation</w:t>
            </w:r>
          </w:p>
          <w:p w14:paraId="6747C624" w14:textId="77777777" w:rsidR="00817F85" w:rsidRDefault="00817F85" w:rsidP="003332F8">
            <w:pPr>
              <w:pStyle w:val="ListParagraph"/>
              <w:numPr>
                <w:ilvl w:val="0"/>
                <w:numId w:val="23"/>
              </w:numPr>
              <w:suppressAutoHyphens/>
              <w:autoSpaceDN w:val="0"/>
              <w:ind w:left="171" w:right="141" w:hanging="171"/>
              <w:textAlignment w:val="baseline"/>
              <w:rPr>
                <w:rFonts w:cs="Arial"/>
                <w:szCs w:val="24"/>
                <w:lang w:val="en-US" w:eastAsia="en-GB"/>
              </w:rPr>
            </w:pPr>
            <w:r>
              <w:rPr>
                <w:rFonts w:cs="Arial"/>
                <w:szCs w:val="24"/>
                <w:lang w:val="en-US" w:eastAsia="en-GB"/>
              </w:rPr>
              <w:t xml:space="preserve">Recognition that the SPD is not new policy </w:t>
            </w:r>
          </w:p>
          <w:p w14:paraId="7F66CBD1" w14:textId="77777777" w:rsidR="00817F85" w:rsidRDefault="00817F85" w:rsidP="003332F8">
            <w:pPr>
              <w:pStyle w:val="ListParagraph"/>
              <w:numPr>
                <w:ilvl w:val="0"/>
                <w:numId w:val="23"/>
              </w:numPr>
              <w:suppressAutoHyphens/>
              <w:autoSpaceDN w:val="0"/>
              <w:ind w:left="171" w:right="141" w:hanging="171"/>
              <w:textAlignment w:val="baseline"/>
              <w:rPr>
                <w:rFonts w:cs="Arial"/>
                <w:szCs w:val="24"/>
                <w:lang w:val="en-US" w:eastAsia="en-GB"/>
              </w:rPr>
            </w:pPr>
            <w:r>
              <w:rPr>
                <w:rFonts w:cs="Arial"/>
                <w:szCs w:val="24"/>
                <w:lang w:val="en-US" w:eastAsia="en-GB"/>
              </w:rPr>
              <w:t xml:space="preserve">Consultation managed to ensure it complies with </w:t>
            </w:r>
            <w:r w:rsidR="00F70B2F">
              <w:rPr>
                <w:rFonts w:cs="Arial"/>
                <w:szCs w:val="24"/>
                <w:lang w:val="en-US" w:eastAsia="en-GB"/>
              </w:rPr>
              <w:t xml:space="preserve">statutory </w:t>
            </w:r>
            <w:r>
              <w:rPr>
                <w:rFonts w:cs="Arial"/>
                <w:szCs w:val="24"/>
                <w:lang w:val="en-US" w:eastAsia="en-GB"/>
              </w:rPr>
              <w:t>requirements</w:t>
            </w:r>
          </w:p>
          <w:p w14:paraId="47894B0A" w14:textId="76FDBDC9" w:rsidR="00B06C1E" w:rsidRDefault="00B06C1E" w:rsidP="00B06C1E">
            <w:pPr>
              <w:pStyle w:val="ListParagraph"/>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7910910D" w14:textId="77777777" w:rsidR="00817F85" w:rsidRDefault="00817F85" w:rsidP="003332F8">
            <w:pPr>
              <w:ind w:right="141"/>
              <w:rPr>
                <w:rFonts w:cs="Arial"/>
                <w:szCs w:val="24"/>
                <w:lang w:val="en-US" w:eastAsia="en-GB"/>
              </w:rPr>
            </w:pPr>
            <w:r>
              <w:rPr>
                <w:rFonts w:cs="Arial"/>
                <w:szCs w:val="24"/>
                <w:lang w:val="en-US" w:eastAsia="en-GB"/>
              </w:rPr>
              <w:t xml:space="preserve">Green </w:t>
            </w:r>
          </w:p>
        </w:tc>
      </w:tr>
      <w:tr w:rsidR="00817F85" w14:paraId="6D7C75CC" w14:textId="77777777" w:rsidTr="00EA499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9A5C8" w14:textId="77777777" w:rsidR="00817F85" w:rsidRDefault="00817F85" w:rsidP="003332F8">
            <w:pPr>
              <w:ind w:right="141"/>
              <w:rPr>
                <w:rFonts w:cs="Arial"/>
                <w:szCs w:val="24"/>
                <w:lang w:val="en-US" w:eastAsia="en-GB"/>
              </w:rPr>
            </w:pPr>
            <w:r>
              <w:rPr>
                <w:rFonts w:cs="Arial"/>
                <w:szCs w:val="24"/>
                <w:lang w:val="en-US" w:eastAsia="en-GB"/>
              </w:rPr>
              <w:t>Residents and Members not satisfied with the Council’s response to key issues raised during the consultation</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999C3" w14:textId="14C60D1B" w:rsidR="00817F85" w:rsidRDefault="00817F85" w:rsidP="003332F8">
            <w:pPr>
              <w:pStyle w:val="ListParagraph"/>
              <w:numPr>
                <w:ilvl w:val="0"/>
                <w:numId w:val="23"/>
              </w:numPr>
              <w:suppressAutoHyphens/>
              <w:autoSpaceDN w:val="0"/>
              <w:ind w:left="171" w:right="141" w:hanging="171"/>
              <w:textAlignment w:val="baseline"/>
              <w:rPr>
                <w:rFonts w:cs="Arial"/>
                <w:szCs w:val="24"/>
                <w:lang w:val="en-US" w:eastAsia="en-GB"/>
              </w:rPr>
            </w:pPr>
            <w:r>
              <w:rPr>
                <w:rFonts w:cs="Arial"/>
                <w:szCs w:val="24"/>
                <w:lang w:val="en-US" w:eastAsia="en-GB"/>
              </w:rPr>
              <w:t>Consultation feedback addressed and amendments made to SPD to address appropriate comments received</w:t>
            </w:r>
            <w:r w:rsidR="00F70B2F">
              <w:rPr>
                <w:rFonts w:cs="Arial"/>
                <w:szCs w:val="24"/>
                <w:lang w:val="en-US" w:eastAsia="en-GB"/>
              </w:rPr>
              <w:t>. Proposed amendments discussed with ward members.</w:t>
            </w:r>
            <w:r>
              <w:rPr>
                <w:rFonts w:cs="Arial"/>
                <w:szCs w:val="24"/>
                <w:lang w:val="en-US" w:eastAsia="en-GB"/>
              </w:rPr>
              <w:t xml:space="preserve">  </w:t>
            </w:r>
          </w:p>
          <w:p w14:paraId="25EC98D8" w14:textId="77777777" w:rsidR="00817F85" w:rsidRDefault="00817F85" w:rsidP="003332F8">
            <w:pPr>
              <w:pStyle w:val="ListParagraph"/>
              <w:numPr>
                <w:ilvl w:val="0"/>
                <w:numId w:val="23"/>
              </w:numPr>
              <w:suppressAutoHyphens/>
              <w:autoSpaceDN w:val="0"/>
              <w:ind w:left="171" w:right="141" w:hanging="171"/>
              <w:textAlignment w:val="baseline"/>
              <w:rPr>
                <w:rFonts w:cs="Arial"/>
                <w:szCs w:val="24"/>
                <w:lang w:val="en-US" w:eastAsia="en-GB"/>
              </w:rPr>
            </w:pPr>
            <w:r>
              <w:rPr>
                <w:rFonts w:cs="Arial"/>
                <w:szCs w:val="24"/>
                <w:lang w:val="en-US" w:eastAsia="en-GB"/>
              </w:rPr>
              <w:t>Main issues and responses set out in Section 3 above</w:t>
            </w:r>
          </w:p>
          <w:p w14:paraId="00B0697E" w14:textId="77777777" w:rsidR="00817F85" w:rsidRDefault="00817F85" w:rsidP="003332F8">
            <w:pPr>
              <w:pStyle w:val="ListParagraph"/>
              <w:numPr>
                <w:ilvl w:val="0"/>
                <w:numId w:val="23"/>
              </w:numPr>
              <w:suppressAutoHyphens/>
              <w:autoSpaceDN w:val="0"/>
              <w:ind w:left="171" w:right="141" w:hanging="171"/>
              <w:textAlignment w:val="baseline"/>
              <w:rPr>
                <w:rFonts w:cs="Arial"/>
                <w:szCs w:val="24"/>
                <w:lang w:val="en-US" w:eastAsia="en-GB"/>
              </w:rPr>
            </w:pPr>
            <w:r>
              <w:rPr>
                <w:rFonts w:cs="Arial"/>
                <w:szCs w:val="24"/>
                <w:lang w:val="en-US" w:eastAsia="en-GB"/>
              </w:rPr>
              <w:t>Full consultation response and amended SPD detailing the changes as a result of the consultation feedback shown in Appendix 1 and 2</w:t>
            </w:r>
          </w:p>
          <w:p w14:paraId="0ACBC425" w14:textId="77777777" w:rsidR="00817F85" w:rsidRPr="00842ABA" w:rsidRDefault="00817F85" w:rsidP="003332F8">
            <w:pPr>
              <w:suppressAutoHyphens/>
              <w:autoSpaceDN w:val="0"/>
              <w:ind w:right="141"/>
              <w:textAlignment w:val="baseline"/>
              <w:rPr>
                <w:rFonts w:cs="Arial"/>
                <w:szCs w:val="24"/>
                <w:lang w:val="en-US" w:eastAsia="en-GB"/>
              </w:rPr>
            </w:pPr>
          </w:p>
          <w:p w14:paraId="463069DA" w14:textId="77777777" w:rsidR="00817F85" w:rsidRDefault="00817F85" w:rsidP="003332F8">
            <w:pPr>
              <w:pStyle w:val="ListParagraph"/>
              <w:suppressAutoHyphens/>
              <w:autoSpaceDN w:val="0"/>
              <w:ind w:left="171"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A59AE31" w14:textId="77777777" w:rsidR="00817F85" w:rsidRDefault="00817F85" w:rsidP="003332F8">
            <w:pPr>
              <w:ind w:right="141"/>
              <w:rPr>
                <w:rFonts w:cs="Arial"/>
                <w:szCs w:val="24"/>
                <w:lang w:val="en-US" w:eastAsia="en-GB"/>
              </w:rPr>
            </w:pPr>
            <w:r>
              <w:rPr>
                <w:rFonts w:cs="Arial"/>
                <w:szCs w:val="24"/>
                <w:lang w:val="en-US" w:eastAsia="en-GB"/>
              </w:rPr>
              <w:t>Green</w:t>
            </w:r>
          </w:p>
        </w:tc>
      </w:tr>
      <w:tr w:rsidR="00817F85" w14:paraId="5E551BD2" w14:textId="77777777" w:rsidTr="00EA499B">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17CE" w14:textId="77777777" w:rsidR="00817F85" w:rsidRDefault="00817F85" w:rsidP="003332F8">
            <w:pPr>
              <w:ind w:right="141"/>
              <w:rPr>
                <w:rFonts w:cs="Arial"/>
                <w:szCs w:val="24"/>
                <w:lang w:val="en-US" w:eastAsia="en-GB"/>
              </w:rPr>
            </w:pPr>
            <w:r>
              <w:rPr>
                <w:rFonts w:cs="Arial"/>
                <w:szCs w:val="24"/>
                <w:lang w:val="en-US" w:eastAsia="en-GB"/>
              </w:rPr>
              <w:t>Consultation process inadequate due to Covid-19 restrictions (unable to undertake face to face and public meetings)</w:t>
            </w:r>
          </w:p>
        </w:tc>
        <w:tc>
          <w:tcPr>
            <w:tcW w:w="4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E2E0D" w14:textId="44FDF788" w:rsidR="00817F85" w:rsidRDefault="00817F85" w:rsidP="003332F8">
            <w:pPr>
              <w:pStyle w:val="ListParagraph"/>
              <w:numPr>
                <w:ilvl w:val="0"/>
                <w:numId w:val="23"/>
              </w:numPr>
              <w:suppressAutoHyphens/>
              <w:autoSpaceDN w:val="0"/>
              <w:ind w:left="171" w:right="141" w:hanging="171"/>
              <w:textAlignment w:val="baseline"/>
              <w:rPr>
                <w:rFonts w:cs="Arial"/>
                <w:szCs w:val="24"/>
                <w:lang w:val="en-US" w:eastAsia="en-GB"/>
              </w:rPr>
            </w:pPr>
            <w:r>
              <w:rPr>
                <w:rFonts w:cs="Arial"/>
                <w:szCs w:val="24"/>
                <w:lang w:val="en-US" w:eastAsia="en-GB"/>
              </w:rPr>
              <w:t xml:space="preserve">The consultation undertaken, including two on-line public presentations </w:t>
            </w:r>
            <w:r w:rsidR="00366908" w:rsidRPr="00842ABA">
              <w:rPr>
                <w:rFonts w:cs="Arial"/>
                <w:szCs w:val="24"/>
                <w:lang w:eastAsia="en-GB"/>
              </w:rPr>
              <w:t>me</w:t>
            </w:r>
            <w:r w:rsidR="00366908">
              <w:rPr>
                <w:rFonts w:cs="Arial"/>
                <w:szCs w:val="24"/>
                <w:lang w:eastAsia="en-GB"/>
              </w:rPr>
              <w:t>e</w:t>
            </w:r>
            <w:r w:rsidR="00366908" w:rsidRPr="00842ABA">
              <w:rPr>
                <w:rFonts w:cs="Arial"/>
                <w:szCs w:val="24"/>
                <w:lang w:eastAsia="en-GB"/>
              </w:rPr>
              <w:t>t</w:t>
            </w:r>
            <w:r w:rsidR="00366908">
              <w:rPr>
                <w:rFonts w:cs="Arial"/>
                <w:szCs w:val="24"/>
                <w:lang w:eastAsia="en-GB"/>
              </w:rPr>
              <w:t xml:space="preserve">ing </w:t>
            </w:r>
            <w:r w:rsidR="00366908" w:rsidRPr="00842ABA">
              <w:rPr>
                <w:rFonts w:cs="Arial"/>
                <w:szCs w:val="24"/>
                <w:lang w:eastAsia="en-GB"/>
              </w:rPr>
              <w:t>and</w:t>
            </w:r>
            <w:r w:rsidRPr="00842ABA">
              <w:rPr>
                <w:rFonts w:cs="Arial"/>
                <w:szCs w:val="24"/>
                <w:lang w:eastAsia="en-GB"/>
              </w:rPr>
              <w:t xml:space="preserve"> exceeded the statutory requirements for consultation on a draft SPD.</w:t>
            </w:r>
          </w:p>
          <w:p w14:paraId="361977FF" w14:textId="77777777" w:rsidR="00817F85" w:rsidRPr="00520416" w:rsidRDefault="00817F85" w:rsidP="003332F8">
            <w:pPr>
              <w:suppressAutoHyphens/>
              <w:autoSpaceDN w:val="0"/>
              <w:ind w:right="141"/>
              <w:textAlignment w:val="baseline"/>
              <w:rPr>
                <w:rFonts w:cs="Arial"/>
                <w:szCs w:val="24"/>
                <w:lang w:val="en-US" w:eastAsia="en-GB"/>
              </w:rPr>
            </w:pPr>
          </w:p>
          <w:p w14:paraId="0A1D5239" w14:textId="77777777" w:rsidR="00817F85" w:rsidRPr="00520416" w:rsidRDefault="00817F85" w:rsidP="003332F8">
            <w:pPr>
              <w:suppressAutoHyphens/>
              <w:autoSpaceDN w:val="0"/>
              <w:ind w:right="141"/>
              <w:textAlignment w:val="baseline"/>
              <w:rPr>
                <w:rFonts w:cs="Arial"/>
                <w:szCs w:val="24"/>
                <w:lang w:val="en-US" w:eastAsia="en-GB"/>
              </w:rPr>
            </w:pPr>
          </w:p>
        </w:tc>
        <w:tc>
          <w:tcPr>
            <w:tcW w:w="8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1E80D5B" w14:textId="77777777" w:rsidR="00817F85" w:rsidRDefault="00817F85" w:rsidP="003332F8">
            <w:pPr>
              <w:ind w:right="141"/>
              <w:rPr>
                <w:rFonts w:cs="Arial"/>
                <w:szCs w:val="24"/>
                <w:lang w:val="en-US" w:eastAsia="en-GB"/>
              </w:rPr>
            </w:pPr>
            <w:r>
              <w:rPr>
                <w:rFonts w:cs="Arial"/>
                <w:szCs w:val="24"/>
                <w:lang w:val="en-US" w:eastAsia="en-GB"/>
              </w:rPr>
              <w:t>Green</w:t>
            </w:r>
          </w:p>
        </w:tc>
      </w:tr>
    </w:tbl>
    <w:p w14:paraId="3A542D13" w14:textId="4A52079F" w:rsidR="00817F85" w:rsidRDefault="00817F85" w:rsidP="00A81E19">
      <w:pPr>
        <w:ind w:right="141"/>
        <w:rPr>
          <w:rFonts w:cs="Arial"/>
          <w:szCs w:val="24"/>
          <w:lang w:eastAsia="en-GB"/>
        </w:rPr>
      </w:pPr>
    </w:p>
    <w:p w14:paraId="47FB30CF" w14:textId="77777777" w:rsidR="00817F85" w:rsidRPr="00141348" w:rsidRDefault="00817F85" w:rsidP="00A81E19">
      <w:pPr>
        <w:ind w:right="141"/>
        <w:rPr>
          <w:rFonts w:cs="Arial"/>
          <w:szCs w:val="24"/>
          <w:lang w:eastAsia="en-GB"/>
        </w:rPr>
      </w:pPr>
    </w:p>
    <w:p w14:paraId="3AA65D2D" w14:textId="7FC84619" w:rsidR="00EA6935" w:rsidRPr="00AD1172" w:rsidRDefault="00FC2CEF" w:rsidP="00F05485">
      <w:pPr>
        <w:ind w:left="426" w:right="141" w:hanging="426"/>
        <w:jc w:val="both"/>
        <w:rPr>
          <w:lang w:eastAsia="en-GB"/>
        </w:rPr>
      </w:pPr>
      <w:r w:rsidRPr="00AD1172">
        <w:rPr>
          <w:rFonts w:cs="Arial"/>
          <w:szCs w:val="24"/>
          <w:lang w:eastAsia="en-GB"/>
        </w:rPr>
        <w:t>5.</w:t>
      </w:r>
      <w:r w:rsidR="00EA0C13">
        <w:rPr>
          <w:rFonts w:cs="Arial"/>
          <w:szCs w:val="24"/>
          <w:lang w:eastAsia="en-GB"/>
        </w:rPr>
        <w:t>8</w:t>
      </w:r>
      <w:r w:rsidR="00EA6935" w:rsidRPr="00AD1172">
        <w:rPr>
          <w:rFonts w:cs="Arial"/>
          <w:szCs w:val="24"/>
          <w:lang w:eastAsia="en-GB"/>
        </w:rPr>
        <w:tab/>
      </w:r>
      <w:r w:rsidR="00EA6935" w:rsidRPr="00AD1172">
        <w:rPr>
          <w:lang w:eastAsia="en-GB"/>
        </w:rPr>
        <w:t xml:space="preserve">As noted above, public participation is one of the </w:t>
      </w:r>
      <w:r w:rsidR="00D736B6">
        <w:rPr>
          <w:lang w:eastAsia="en-GB"/>
        </w:rPr>
        <w:t>statutory</w:t>
      </w:r>
      <w:r w:rsidR="00D736B6" w:rsidRPr="00AD1172">
        <w:rPr>
          <w:lang w:eastAsia="en-GB"/>
        </w:rPr>
        <w:t xml:space="preserve"> </w:t>
      </w:r>
      <w:r w:rsidR="00EA6935" w:rsidRPr="00AD1172">
        <w:rPr>
          <w:lang w:eastAsia="en-GB"/>
        </w:rPr>
        <w:t>requirements for the preparation of an SPD, and both the Regulations and the NPPF are clear about the secondary (non</w:t>
      </w:r>
      <w:r w:rsidR="00803A60">
        <w:rPr>
          <w:lang w:eastAsia="en-GB"/>
        </w:rPr>
        <w:t>-</w:t>
      </w:r>
      <w:r w:rsidR="00EA6935" w:rsidRPr="00AD1172">
        <w:rPr>
          <w:lang w:eastAsia="en-GB"/>
        </w:rPr>
        <w:t xml:space="preserve">development plan) role of SPDs. The </w:t>
      </w:r>
      <w:r w:rsidR="00F62CA0">
        <w:rPr>
          <w:lang w:eastAsia="en-GB"/>
        </w:rPr>
        <w:t>amended</w:t>
      </w:r>
      <w:r w:rsidR="00F62CA0" w:rsidRPr="00AD1172">
        <w:rPr>
          <w:lang w:eastAsia="en-GB"/>
        </w:rPr>
        <w:t xml:space="preserve"> </w:t>
      </w:r>
      <w:r w:rsidR="00EA6935" w:rsidRPr="00AD1172">
        <w:rPr>
          <w:lang w:eastAsia="en-GB"/>
        </w:rPr>
        <w:t>SPD the subject of this report has been prepared recognising that it cannot introduce new policy or add to the burden upon development. Officers manage</w:t>
      </w:r>
      <w:r w:rsidR="005558F9">
        <w:rPr>
          <w:lang w:eastAsia="en-GB"/>
        </w:rPr>
        <w:t>d</w:t>
      </w:r>
      <w:r w:rsidR="00EA6935" w:rsidRPr="00AD1172">
        <w:rPr>
          <w:lang w:eastAsia="en-GB"/>
        </w:rPr>
        <w:t xml:space="preserve"> the consultation and adoption of the SPD to ensure that it complies with </w:t>
      </w:r>
      <w:r w:rsidR="00D736B6">
        <w:rPr>
          <w:lang w:eastAsia="en-GB"/>
        </w:rPr>
        <w:t>statutory</w:t>
      </w:r>
      <w:r w:rsidR="00D736B6" w:rsidRPr="00AD1172">
        <w:rPr>
          <w:lang w:eastAsia="en-GB"/>
        </w:rPr>
        <w:t xml:space="preserve"> </w:t>
      </w:r>
      <w:r w:rsidR="00EA6935" w:rsidRPr="00AD1172">
        <w:rPr>
          <w:lang w:eastAsia="en-GB"/>
        </w:rPr>
        <w:t xml:space="preserve">requirements for the preparation of the SPD. Proper application of the SPD to relevant proposals should </w:t>
      </w:r>
      <w:r w:rsidR="00E64013" w:rsidRPr="00AD1172">
        <w:rPr>
          <w:lang w:eastAsia="en-GB"/>
        </w:rPr>
        <w:t>significantly reduce</w:t>
      </w:r>
      <w:r w:rsidR="00EA6935" w:rsidRPr="00AD1172">
        <w:rPr>
          <w:lang w:eastAsia="en-GB"/>
        </w:rPr>
        <w:t xml:space="preserve"> the chance of any appeals being submitted.</w:t>
      </w:r>
    </w:p>
    <w:p w14:paraId="1B515B0C" w14:textId="09CE7DE8" w:rsidR="00EA6935" w:rsidRPr="00AD1172" w:rsidRDefault="00EA6935" w:rsidP="00A81E19">
      <w:pPr>
        <w:ind w:right="141"/>
        <w:rPr>
          <w:rFonts w:cs="Arial"/>
          <w:color w:val="0000FF"/>
          <w:szCs w:val="24"/>
          <w:lang w:eastAsia="en-GB"/>
        </w:rPr>
      </w:pPr>
    </w:p>
    <w:p w14:paraId="328D3B3A" w14:textId="2DB81441" w:rsidR="00955D1A" w:rsidRDefault="00F05485" w:rsidP="00AD1172">
      <w:pPr>
        <w:ind w:left="426" w:right="141" w:hanging="426"/>
        <w:jc w:val="both"/>
        <w:rPr>
          <w:rFonts w:cs="Arial"/>
          <w:color w:val="000000" w:themeColor="text1"/>
          <w:szCs w:val="24"/>
          <w:lang w:eastAsia="en-GB"/>
        </w:rPr>
      </w:pPr>
      <w:r>
        <w:rPr>
          <w:rFonts w:cs="Arial"/>
          <w:color w:val="000000" w:themeColor="text1"/>
          <w:szCs w:val="24"/>
          <w:lang w:eastAsia="en-GB"/>
        </w:rPr>
        <w:t>5.</w:t>
      </w:r>
      <w:r w:rsidR="00EA0C13">
        <w:rPr>
          <w:rFonts w:cs="Arial"/>
          <w:color w:val="000000" w:themeColor="text1"/>
          <w:szCs w:val="24"/>
          <w:lang w:eastAsia="en-GB"/>
        </w:rPr>
        <w:t>9</w:t>
      </w:r>
      <w:r>
        <w:rPr>
          <w:rFonts w:cs="Arial"/>
          <w:color w:val="000000" w:themeColor="text1"/>
          <w:szCs w:val="24"/>
          <w:lang w:eastAsia="en-GB"/>
        </w:rPr>
        <w:tab/>
      </w:r>
      <w:r w:rsidR="003D6C57" w:rsidRPr="00B05B74">
        <w:rPr>
          <w:rFonts w:cs="Arial"/>
          <w:color w:val="000000" w:themeColor="text1"/>
          <w:szCs w:val="24"/>
          <w:lang w:eastAsia="en-GB"/>
        </w:rPr>
        <w:t>In developing a</w:t>
      </w:r>
      <w:r w:rsidR="004A58EF" w:rsidRPr="00B05B74">
        <w:rPr>
          <w:rFonts w:cs="Arial"/>
          <w:color w:val="000000" w:themeColor="text1"/>
          <w:szCs w:val="24"/>
          <w:lang w:eastAsia="en-GB"/>
        </w:rPr>
        <w:t>n SPD jointly with LB Barn</w:t>
      </w:r>
      <w:r w:rsidR="0051686D" w:rsidRPr="00B05B74">
        <w:rPr>
          <w:rFonts w:cs="Arial"/>
          <w:color w:val="000000" w:themeColor="text1"/>
          <w:szCs w:val="24"/>
          <w:lang w:eastAsia="en-GB"/>
        </w:rPr>
        <w:t>e</w:t>
      </w:r>
      <w:r w:rsidR="004A58EF" w:rsidRPr="00B05B74">
        <w:rPr>
          <w:rFonts w:cs="Arial"/>
          <w:color w:val="000000" w:themeColor="text1"/>
          <w:szCs w:val="24"/>
          <w:lang w:eastAsia="en-GB"/>
        </w:rPr>
        <w:t xml:space="preserve">t, </w:t>
      </w:r>
      <w:r w:rsidR="0094437F">
        <w:rPr>
          <w:rFonts w:cs="Arial"/>
          <w:color w:val="000000" w:themeColor="text1"/>
          <w:szCs w:val="24"/>
          <w:lang w:eastAsia="en-GB"/>
        </w:rPr>
        <w:t xml:space="preserve">the </w:t>
      </w:r>
      <w:r w:rsidR="00F21683">
        <w:rPr>
          <w:rFonts w:cs="Arial"/>
          <w:color w:val="000000" w:themeColor="text1"/>
          <w:szCs w:val="24"/>
          <w:lang w:eastAsia="en-GB"/>
        </w:rPr>
        <w:t xml:space="preserve">risk at this stage of the process is in relation to </w:t>
      </w:r>
      <w:r w:rsidR="00F54E51">
        <w:rPr>
          <w:rFonts w:cs="Arial"/>
          <w:color w:val="000000" w:themeColor="text1"/>
          <w:szCs w:val="24"/>
          <w:lang w:eastAsia="en-GB"/>
        </w:rPr>
        <w:t>the feedback received through the consultation</w:t>
      </w:r>
      <w:r w:rsidR="00F21683">
        <w:rPr>
          <w:rFonts w:cs="Arial"/>
          <w:color w:val="000000" w:themeColor="text1"/>
          <w:szCs w:val="24"/>
          <w:lang w:eastAsia="en-GB"/>
        </w:rPr>
        <w:t xml:space="preserve"> process</w:t>
      </w:r>
      <w:r w:rsidR="00F54E51">
        <w:rPr>
          <w:rFonts w:cs="Arial"/>
          <w:color w:val="000000" w:themeColor="text1"/>
          <w:szCs w:val="24"/>
          <w:lang w:eastAsia="en-GB"/>
        </w:rPr>
        <w:t xml:space="preserve">. Section </w:t>
      </w:r>
      <w:r w:rsidR="00FF7AE2">
        <w:rPr>
          <w:rFonts w:cs="Arial"/>
          <w:color w:val="000000" w:themeColor="text1"/>
          <w:szCs w:val="24"/>
          <w:lang w:eastAsia="en-GB"/>
        </w:rPr>
        <w:t>3</w:t>
      </w:r>
      <w:r w:rsidR="008E6FCD">
        <w:rPr>
          <w:rFonts w:cs="Arial"/>
          <w:color w:val="000000" w:themeColor="text1"/>
          <w:szCs w:val="24"/>
          <w:lang w:eastAsia="en-GB"/>
        </w:rPr>
        <w:t xml:space="preserve"> </w:t>
      </w:r>
      <w:r w:rsidR="00F54E51">
        <w:rPr>
          <w:rFonts w:cs="Arial"/>
          <w:color w:val="000000" w:themeColor="text1"/>
          <w:szCs w:val="24"/>
          <w:lang w:eastAsia="en-GB"/>
        </w:rPr>
        <w:t xml:space="preserve">above sets out the </w:t>
      </w:r>
      <w:r w:rsidR="0052061A">
        <w:rPr>
          <w:rFonts w:cs="Arial"/>
          <w:color w:val="000000" w:themeColor="text1"/>
          <w:szCs w:val="24"/>
          <w:lang w:eastAsia="en-GB"/>
        </w:rPr>
        <w:t xml:space="preserve">consultation that was undertaken, with main issues and responses set out </w:t>
      </w:r>
      <w:r w:rsidR="0052061A" w:rsidRPr="00FF7AE2">
        <w:rPr>
          <w:rFonts w:cs="Arial"/>
          <w:color w:val="000000" w:themeColor="text1"/>
          <w:szCs w:val="24"/>
          <w:lang w:eastAsia="en-GB"/>
        </w:rPr>
        <w:t xml:space="preserve">in Section </w:t>
      </w:r>
      <w:r w:rsidR="00FF7AE2">
        <w:rPr>
          <w:rFonts w:cs="Arial"/>
          <w:color w:val="000000" w:themeColor="text1"/>
          <w:szCs w:val="24"/>
          <w:lang w:eastAsia="en-GB"/>
        </w:rPr>
        <w:t>4</w:t>
      </w:r>
      <w:r w:rsidR="0052061A">
        <w:rPr>
          <w:rFonts w:cs="Arial"/>
          <w:color w:val="000000" w:themeColor="text1"/>
          <w:szCs w:val="24"/>
          <w:lang w:eastAsia="en-GB"/>
        </w:rPr>
        <w:t xml:space="preserve">. Attached as </w:t>
      </w:r>
      <w:r w:rsidR="00207B9C" w:rsidRPr="000542FD">
        <w:rPr>
          <w:rFonts w:cs="Arial"/>
          <w:color w:val="000000" w:themeColor="text1"/>
          <w:szCs w:val="24"/>
          <w:lang w:eastAsia="en-GB"/>
        </w:rPr>
        <w:t xml:space="preserve">Appendix </w:t>
      </w:r>
      <w:r w:rsidR="00B06C1E">
        <w:rPr>
          <w:rFonts w:cs="Arial"/>
          <w:color w:val="000000" w:themeColor="text1"/>
          <w:szCs w:val="24"/>
          <w:lang w:eastAsia="en-GB"/>
        </w:rPr>
        <w:t>2</w:t>
      </w:r>
      <w:r w:rsidR="000542FD">
        <w:rPr>
          <w:rFonts w:cs="Arial"/>
          <w:color w:val="000000" w:themeColor="text1"/>
          <w:szCs w:val="24"/>
          <w:lang w:eastAsia="en-GB"/>
        </w:rPr>
        <w:t xml:space="preserve"> and </w:t>
      </w:r>
      <w:r w:rsidR="00B06C1E">
        <w:rPr>
          <w:rFonts w:cs="Arial"/>
          <w:color w:val="000000" w:themeColor="text1"/>
          <w:szCs w:val="24"/>
          <w:lang w:eastAsia="en-GB"/>
        </w:rPr>
        <w:t xml:space="preserve">3 respectively </w:t>
      </w:r>
      <w:r w:rsidR="00207B9C" w:rsidRPr="00046A47">
        <w:rPr>
          <w:rFonts w:cs="Arial"/>
          <w:color w:val="000000" w:themeColor="text1"/>
          <w:szCs w:val="24"/>
          <w:lang w:eastAsia="en-GB"/>
        </w:rPr>
        <w:t>is</w:t>
      </w:r>
      <w:r w:rsidR="00207B9C">
        <w:rPr>
          <w:rFonts w:cs="Arial"/>
          <w:color w:val="000000" w:themeColor="text1"/>
          <w:szCs w:val="24"/>
          <w:lang w:eastAsia="en-GB"/>
        </w:rPr>
        <w:t xml:space="preserve"> the full consultation response and amended SPD detailing the changes as a result of the consultation feedback. </w:t>
      </w:r>
    </w:p>
    <w:p w14:paraId="6CF05312" w14:textId="5AAFB8C6" w:rsidR="00820995" w:rsidRDefault="00820995" w:rsidP="00AD1172">
      <w:pPr>
        <w:ind w:left="426" w:right="141" w:hanging="426"/>
        <w:jc w:val="both"/>
        <w:rPr>
          <w:rFonts w:cs="Arial"/>
          <w:color w:val="000000" w:themeColor="text1"/>
          <w:szCs w:val="24"/>
          <w:lang w:eastAsia="en-GB"/>
        </w:rPr>
      </w:pPr>
    </w:p>
    <w:p w14:paraId="225058AD" w14:textId="3B4E59E5" w:rsidR="00820995" w:rsidRDefault="00820995" w:rsidP="00AD1172">
      <w:pPr>
        <w:ind w:left="426" w:right="141" w:hanging="426"/>
        <w:jc w:val="both"/>
        <w:rPr>
          <w:rFonts w:cs="Arial"/>
          <w:color w:val="000000" w:themeColor="text1"/>
          <w:szCs w:val="24"/>
          <w:lang w:eastAsia="en-GB"/>
        </w:rPr>
      </w:pPr>
      <w:r>
        <w:rPr>
          <w:rFonts w:cs="Arial"/>
          <w:color w:val="000000" w:themeColor="text1"/>
          <w:szCs w:val="24"/>
          <w:lang w:eastAsia="en-GB"/>
        </w:rPr>
        <w:t>5.</w:t>
      </w:r>
      <w:r w:rsidR="00EA0C13">
        <w:rPr>
          <w:rFonts w:cs="Arial"/>
          <w:color w:val="000000" w:themeColor="text1"/>
          <w:szCs w:val="24"/>
          <w:lang w:eastAsia="en-GB"/>
        </w:rPr>
        <w:t>10</w:t>
      </w:r>
      <w:r>
        <w:rPr>
          <w:rFonts w:cs="Arial"/>
          <w:color w:val="000000" w:themeColor="text1"/>
          <w:szCs w:val="24"/>
          <w:lang w:eastAsia="en-GB"/>
        </w:rPr>
        <w:tab/>
        <w:t>The con</w:t>
      </w:r>
      <w:r w:rsidR="007F1D45">
        <w:rPr>
          <w:rFonts w:cs="Arial"/>
          <w:color w:val="000000" w:themeColor="text1"/>
          <w:szCs w:val="24"/>
          <w:lang w:eastAsia="en-GB"/>
        </w:rPr>
        <w:t>s</w:t>
      </w:r>
      <w:r>
        <w:rPr>
          <w:rFonts w:cs="Arial"/>
          <w:color w:val="000000" w:themeColor="text1"/>
          <w:szCs w:val="24"/>
          <w:lang w:eastAsia="en-GB"/>
        </w:rPr>
        <w:t>ul</w:t>
      </w:r>
      <w:r w:rsidR="007F1D45">
        <w:rPr>
          <w:rFonts w:cs="Arial"/>
          <w:color w:val="000000" w:themeColor="text1"/>
          <w:szCs w:val="24"/>
          <w:lang w:eastAsia="en-GB"/>
        </w:rPr>
        <w:t>t</w:t>
      </w:r>
      <w:r>
        <w:rPr>
          <w:rFonts w:cs="Arial"/>
          <w:color w:val="000000" w:themeColor="text1"/>
          <w:szCs w:val="24"/>
          <w:lang w:eastAsia="en-GB"/>
        </w:rPr>
        <w:t xml:space="preserve">ation feedback </w:t>
      </w:r>
      <w:r w:rsidR="004C633D">
        <w:rPr>
          <w:rFonts w:cs="Arial"/>
          <w:color w:val="000000" w:themeColor="text1"/>
          <w:szCs w:val="24"/>
          <w:lang w:eastAsia="en-GB"/>
        </w:rPr>
        <w:t>as set out above</w:t>
      </w:r>
      <w:r w:rsidR="006A0617">
        <w:rPr>
          <w:rFonts w:cs="Arial"/>
          <w:color w:val="000000" w:themeColor="text1"/>
          <w:szCs w:val="24"/>
          <w:lang w:eastAsia="en-GB"/>
        </w:rPr>
        <w:t>, and the proposed amendments to the SPD are co</w:t>
      </w:r>
      <w:r w:rsidR="008F2509">
        <w:rPr>
          <w:rFonts w:cs="Arial"/>
          <w:color w:val="000000" w:themeColor="text1"/>
          <w:szCs w:val="24"/>
          <w:lang w:eastAsia="en-GB"/>
        </w:rPr>
        <w:t>nsidered to address where appropriate comments received</w:t>
      </w:r>
      <w:r w:rsidR="0040347D">
        <w:rPr>
          <w:rFonts w:cs="Arial"/>
          <w:color w:val="000000" w:themeColor="text1"/>
          <w:szCs w:val="24"/>
          <w:lang w:eastAsia="en-GB"/>
        </w:rPr>
        <w:t xml:space="preserve">. Furthermore, the proposed changes to the SPD are </w:t>
      </w:r>
      <w:r w:rsidR="00FF394E">
        <w:rPr>
          <w:rFonts w:cs="Arial"/>
          <w:color w:val="000000" w:themeColor="text1"/>
          <w:szCs w:val="24"/>
          <w:lang w:eastAsia="en-GB"/>
        </w:rPr>
        <w:lastRenderedPageBreak/>
        <w:t>considered</w:t>
      </w:r>
      <w:r w:rsidR="0040347D">
        <w:rPr>
          <w:rFonts w:cs="Arial"/>
          <w:color w:val="000000" w:themeColor="text1"/>
          <w:szCs w:val="24"/>
          <w:lang w:eastAsia="en-GB"/>
        </w:rPr>
        <w:t xml:space="preserve"> to ensure that the document </w:t>
      </w:r>
      <w:r w:rsidR="00FF394E">
        <w:rPr>
          <w:rFonts w:cs="Arial"/>
          <w:color w:val="000000" w:themeColor="text1"/>
          <w:szCs w:val="24"/>
          <w:lang w:eastAsia="en-GB"/>
        </w:rPr>
        <w:t xml:space="preserve">would continue to deliver against </w:t>
      </w:r>
      <w:r w:rsidR="00D73A82">
        <w:rPr>
          <w:rFonts w:cs="Arial"/>
          <w:color w:val="000000" w:themeColor="text1"/>
          <w:szCs w:val="24"/>
          <w:lang w:eastAsia="en-GB"/>
        </w:rPr>
        <w:t xml:space="preserve">Harrow </w:t>
      </w:r>
      <w:r w:rsidR="00A0696F">
        <w:rPr>
          <w:rFonts w:cs="Arial"/>
          <w:color w:val="000000" w:themeColor="text1"/>
          <w:szCs w:val="24"/>
          <w:lang w:eastAsia="en-GB"/>
        </w:rPr>
        <w:t>C</w:t>
      </w:r>
      <w:r w:rsidR="00FF394E">
        <w:rPr>
          <w:rFonts w:cs="Arial"/>
          <w:color w:val="000000" w:themeColor="text1"/>
          <w:szCs w:val="24"/>
          <w:lang w:eastAsia="en-GB"/>
        </w:rPr>
        <w:t>ouncil</w:t>
      </w:r>
      <w:r w:rsidR="00A0696F">
        <w:rPr>
          <w:rFonts w:cs="Arial"/>
          <w:color w:val="000000" w:themeColor="text1"/>
          <w:szCs w:val="24"/>
          <w:lang w:eastAsia="en-GB"/>
        </w:rPr>
        <w:t>’s</w:t>
      </w:r>
      <w:r w:rsidR="00FF394E">
        <w:rPr>
          <w:rFonts w:cs="Arial"/>
          <w:color w:val="000000" w:themeColor="text1"/>
          <w:szCs w:val="24"/>
          <w:lang w:eastAsia="en-GB"/>
        </w:rPr>
        <w:t xml:space="preserve"> priorities and the intent of the GLA homebuilding capacity fund</w:t>
      </w:r>
      <w:r w:rsidR="003C6BB5">
        <w:rPr>
          <w:rFonts w:cs="Arial"/>
          <w:color w:val="000000" w:themeColor="text1"/>
          <w:szCs w:val="24"/>
          <w:lang w:eastAsia="en-GB"/>
        </w:rPr>
        <w:t>ing</w:t>
      </w:r>
      <w:r w:rsidR="00FF394E">
        <w:rPr>
          <w:rFonts w:cs="Arial"/>
          <w:color w:val="000000" w:themeColor="text1"/>
          <w:szCs w:val="24"/>
          <w:lang w:eastAsia="en-GB"/>
        </w:rPr>
        <w:t>.</w:t>
      </w:r>
    </w:p>
    <w:p w14:paraId="299D4AFC" w14:textId="77777777" w:rsidR="00E073F1" w:rsidRDefault="00E073F1" w:rsidP="00E073F1">
      <w:pPr>
        <w:ind w:right="141" w:hanging="567"/>
        <w:rPr>
          <w:rFonts w:cs="Arial"/>
          <w:szCs w:val="24"/>
          <w:lang w:val="en-US" w:eastAsia="en-GB"/>
        </w:rPr>
      </w:pPr>
    </w:p>
    <w:p w14:paraId="16B47E46" w14:textId="255CFD34" w:rsidR="0084084C" w:rsidRDefault="0084084C" w:rsidP="00AD1172">
      <w:pPr>
        <w:ind w:left="426" w:right="141" w:hanging="426"/>
        <w:jc w:val="both"/>
        <w:rPr>
          <w:rFonts w:cs="Arial"/>
          <w:color w:val="000000" w:themeColor="text1"/>
          <w:szCs w:val="24"/>
          <w:lang w:eastAsia="en-GB"/>
        </w:rPr>
      </w:pPr>
    </w:p>
    <w:p w14:paraId="7DBC6086" w14:textId="77777777" w:rsidR="002A3FEF" w:rsidRPr="00B96FBE" w:rsidRDefault="002A3FEF" w:rsidP="002A3FEF">
      <w:pPr>
        <w:pStyle w:val="Heading2"/>
      </w:pPr>
      <w:r w:rsidRPr="00B96FBE">
        <w:t xml:space="preserve">Procurement Implications </w:t>
      </w:r>
    </w:p>
    <w:p w14:paraId="60E3D055" w14:textId="65C66716" w:rsidR="002A3FEF" w:rsidRPr="00D736B6" w:rsidRDefault="002A3FEF" w:rsidP="00333FAA">
      <w:pPr>
        <w:pStyle w:val="Heading2"/>
      </w:pPr>
    </w:p>
    <w:p w14:paraId="05F45E54" w14:textId="66A411A4" w:rsidR="00D65F69" w:rsidRPr="00D736B6" w:rsidRDefault="00F05485" w:rsidP="00AD1172">
      <w:pPr>
        <w:ind w:left="426" w:hanging="426"/>
        <w:jc w:val="both"/>
      </w:pPr>
      <w:r w:rsidRPr="00D736B6">
        <w:t>5.</w:t>
      </w:r>
      <w:r w:rsidR="00B5078D" w:rsidRPr="00D736B6">
        <w:t>11</w:t>
      </w:r>
      <w:r w:rsidRPr="00D736B6">
        <w:tab/>
      </w:r>
      <w:r w:rsidR="00D65F69" w:rsidRPr="00D736B6">
        <w:t xml:space="preserve">The SPD is funded by the Mayor of London’s Homebuilding Capacity Fund, which was successfully secured by LB Barnet. By reason of part of the designated Edgware Town Centre being located within Harrow, the SPD is being brought forward jointly, with Barnet leading on its preparation. Any external consultancy support for specialist studies (i.e. transport) has been procured by Barnet. </w:t>
      </w:r>
      <w:r w:rsidR="00803A60" w:rsidRPr="00D736B6">
        <w:t>Consequently,</w:t>
      </w:r>
      <w:r w:rsidR="00D65F69" w:rsidRPr="00D736B6">
        <w:t xml:space="preserve"> it is considered that there are limited procurement implications for Harrow as a result of the project nor this Cabinet report. </w:t>
      </w:r>
    </w:p>
    <w:p w14:paraId="0AD36A9A" w14:textId="77777777" w:rsidR="00D65F69" w:rsidRPr="00D736B6" w:rsidRDefault="00D65F69" w:rsidP="00A723AD">
      <w:pPr>
        <w:jc w:val="both"/>
      </w:pPr>
    </w:p>
    <w:p w14:paraId="4858BDF9" w14:textId="77777777" w:rsidR="00D65F69" w:rsidRPr="00D736B6" w:rsidRDefault="00D65F69" w:rsidP="00A723AD"/>
    <w:p w14:paraId="1EBC2D50" w14:textId="77777777" w:rsidR="00333FAA" w:rsidRPr="00D736B6" w:rsidRDefault="00333FAA" w:rsidP="00333FAA">
      <w:pPr>
        <w:pStyle w:val="Heading2"/>
      </w:pPr>
      <w:r w:rsidRPr="00D736B6">
        <w:t>Legal Implications</w:t>
      </w:r>
    </w:p>
    <w:p w14:paraId="34232723" w14:textId="77777777" w:rsidR="0054590F" w:rsidRPr="00D736B6" w:rsidRDefault="0054590F" w:rsidP="00F93C8B">
      <w:pPr>
        <w:pStyle w:val="Heading4"/>
        <w:keepNext w:val="0"/>
        <w:rPr>
          <w:b w:val="0"/>
        </w:rPr>
      </w:pPr>
    </w:p>
    <w:p w14:paraId="53929900" w14:textId="3373241C" w:rsidR="00D65F69" w:rsidRPr="00D736B6" w:rsidRDefault="004E43CE" w:rsidP="004E43CE">
      <w:pPr>
        <w:ind w:left="426" w:hanging="426"/>
        <w:jc w:val="both"/>
      </w:pPr>
      <w:r w:rsidRPr="00D736B6">
        <w:rPr>
          <w:bCs/>
        </w:rPr>
        <w:t>5.</w:t>
      </w:r>
      <w:r w:rsidR="00B5078D" w:rsidRPr="00D736B6">
        <w:rPr>
          <w:bCs/>
        </w:rPr>
        <w:t>12</w:t>
      </w:r>
      <w:r w:rsidRPr="00D736B6">
        <w:rPr>
          <w:b/>
        </w:rPr>
        <w:tab/>
      </w:r>
      <w:r w:rsidR="00D65F69" w:rsidRPr="00D736B6">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3A048159" w14:textId="77777777" w:rsidR="00D65F69" w:rsidRPr="00D736B6" w:rsidRDefault="00D65F69" w:rsidP="00D65F69"/>
    <w:p w14:paraId="59E2FFD5" w14:textId="5FEA1D4E" w:rsidR="00D65F69" w:rsidRPr="00D736B6" w:rsidRDefault="004E43CE" w:rsidP="004E43CE">
      <w:pPr>
        <w:ind w:left="426" w:hanging="426"/>
        <w:jc w:val="both"/>
      </w:pPr>
      <w:r w:rsidRPr="00D736B6">
        <w:t>5.</w:t>
      </w:r>
      <w:r w:rsidR="00B5078D" w:rsidRPr="00D736B6">
        <w:t>13</w:t>
      </w:r>
      <w:r w:rsidRPr="00D736B6">
        <w:tab/>
      </w:r>
      <w:r w:rsidR="00D65F69" w:rsidRPr="00D736B6">
        <w:t xml:space="preserve">Although the proposed SPD is not a development plan document it will, on adoption, be a material consideration in the determination of proposals for development within the Edgware Town Centre and the defined SPD area (as delineated by the red line boundary). </w:t>
      </w:r>
    </w:p>
    <w:p w14:paraId="747D79AC" w14:textId="77777777" w:rsidR="00D65F69" w:rsidRPr="00D736B6" w:rsidRDefault="00D65F69" w:rsidP="00D65F69">
      <w:pPr>
        <w:jc w:val="both"/>
      </w:pPr>
    </w:p>
    <w:p w14:paraId="182441CC" w14:textId="4F78949D" w:rsidR="00FB09BF" w:rsidRPr="00D736B6" w:rsidRDefault="004E43CE" w:rsidP="00FB09BF">
      <w:pPr>
        <w:ind w:left="426" w:hanging="426"/>
        <w:jc w:val="both"/>
      </w:pPr>
      <w:r w:rsidRPr="00D736B6">
        <w:t>5.</w:t>
      </w:r>
      <w:r w:rsidR="00B5078D" w:rsidRPr="00D736B6">
        <w:t>14</w:t>
      </w:r>
      <w:r w:rsidRPr="00D736B6">
        <w:tab/>
      </w:r>
      <w:r w:rsidR="00D65F69" w:rsidRPr="00D736B6">
        <w:t xml:space="preserve">The Council is required by law to consult on the SPD and to </w:t>
      </w:r>
      <w:proofErr w:type="gramStart"/>
      <w:r w:rsidR="00D65F69" w:rsidRPr="00D736B6">
        <w:t>take into account</w:t>
      </w:r>
      <w:proofErr w:type="gramEnd"/>
      <w:r w:rsidR="00D65F69" w:rsidRPr="00D736B6">
        <w:t xml:space="preserve"> all consultation responses received before adopting the SPD.</w:t>
      </w:r>
      <w:r w:rsidR="00FB09BF" w:rsidRPr="00D736B6">
        <w:t xml:space="preserve"> As soon as reasonably practicable after adopting an SPD, the Council must (</w:t>
      </w:r>
      <w:proofErr w:type="spellStart"/>
      <w:r w:rsidR="00FB09BF" w:rsidRPr="00D736B6">
        <w:t>i</w:t>
      </w:r>
      <w:proofErr w:type="spellEnd"/>
      <w:r w:rsidR="00FB09BF" w:rsidRPr="00D736B6">
        <w:t>) make available the SPD and an adoption statement and (ii) send a copy of the adoption statement to any person who asked to be notified of the adoption of the SPD.</w:t>
      </w:r>
    </w:p>
    <w:p w14:paraId="0CB1BFE3" w14:textId="41FCF997" w:rsidR="00D65F69" w:rsidRPr="00D736B6" w:rsidRDefault="00D65F69" w:rsidP="004E43CE">
      <w:pPr>
        <w:ind w:left="426" w:hanging="426"/>
        <w:jc w:val="both"/>
      </w:pPr>
    </w:p>
    <w:p w14:paraId="1A1B1972" w14:textId="77777777" w:rsidR="00D65F69" w:rsidRPr="00D736B6" w:rsidRDefault="00D65F69" w:rsidP="00D65F69"/>
    <w:p w14:paraId="5F1DB7B9" w14:textId="77777777" w:rsidR="00333FAA" w:rsidRPr="00D736B6" w:rsidRDefault="00333FAA" w:rsidP="00333FAA">
      <w:pPr>
        <w:pStyle w:val="Heading2"/>
      </w:pPr>
      <w:r w:rsidRPr="00D736B6">
        <w:t>Financial Implications</w:t>
      </w:r>
    </w:p>
    <w:p w14:paraId="121E2A72" w14:textId="77777777" w:rsidR="0054590F" w:rsidRPr="00D736B6" w:rsidRDefault="0054590F" w:rsidP="001C7E35"/>
    <w:p w14:paraId="3274CD19" w14:textId="1EAC34F6" w:rsidR="00D65F69" w:rsidRPr="00D736B6" w:rsidRDefault="004E43CE" w:rsidP="004E43CE">
      <w:pPr>
        <w:ind w:left="426" w:hanging="426"/>
        <w:jc w:val="both"/>
        <w:rPr>
          <w:rFonts w:cs="Arial"/>
        </w:rPr>
      </w:pPr>
      <w:r w:rsidRPr="00D736B6">
        <w:t>5.</w:t>
      </w:r>
      <w:r w:rsidR="00B5078D" w:rsidRPr="00D736B6">
        <w:t>15</w:t>
      </w:r>
      <w:r w:rsidRPr="00D736B6">
        <w:tab/>
      </w:r>
      <w:r w:rsidR="0005413A" w:rsidRPr="00D736B6">
        <w:t xml:space="preserve">The cost of preparing the SPD is funded by the Mayor of London’s Homebuilding Capacity Fund, which was successfully secured by LB Barnet. By reason of part of the designated Edgware Town Centre being located within Harrow, the SPD is being brought forward jointly. Barnet is leading on the preparation of the SPD with Harrow providing input to Barnet to progress the process, including reviewing the accompanying evidence base work that informs the draft SPD, the draft SPD itself, participating in stakeholder engagement (members, residents), and then undertaking the relevant internal governance required. By reason of this, part of the successful bid was on the basis that a funding of £17,500 was provided from Barnet to Harrow to cover the cost of Harrow officer time in the </w:t>
      </w:r>
      <w:r w:rsidR="0005413A" w:rsidRPr="00D736B6">
        <w:lastRenderedPageBreak/>
        <w:t xml:space="preserve">process. This funding is considered </w:t>
      </w:r>
      <w:proofErr w:type="spellStart"/>
      <w:r w:rsidR="0005413A" w:rsidRPr="00D736B6">
        <w:t>to</w:t>
      </w:r>
      <w:proofErr w:type="spellEnd"/>
      <w:r w:rsidR="0005413A" w:rsidRPr="00D736B6">
        <w:t xml:space="preserve"> broadly reflect required officer input / consultation costs. Failure to adopt the amended SPD would however most likely result in the grant funding having to be repaid to the GLA.</w:t>
      </w:r>
    </w:p>
    <w:p w14:paraId="45ED00B0" w14:textId="77777777" w:rsidR="00D65F69" w:rsidRPr="00D736B6" w:rsidRDefault="00D65F69" w:rsidP="00D65F69">
      <w:pPr>
        <w:rPr>
          <w:rFonts w:cs="Arial"/>
        </w:rPr>
      </w:pPr>
    </w:p>
    <w:p w14:paraId="3EA97EE0" w14:textId="47C81EA8" w:rsidR="008056C8" w:rsidRPr="00D736B6" w:rsidRDefault="00D65F69" w:rsidP="009C2257">
      <w:pPr>
        <w:autoSpaceDE w:val="0"/>
        <w:autoSpaceDN w:val="0"/>
        <w:adjustRightInd w:val="0"/>
      </w:pPr>
      <w:r w:rsidRPr="00D736B6" w:rsidDel="005E2C06">
        <w:rPr>
          <w:rFonts w:cs="Arial"/>
        </w:rPr>
        <w:t xml:space="preserve"> </w:t>
      </w:r>
    </w:p>
    <w:p w14:paraId="4510E896" w14:textId="77777777" w:rsidR="00333FAA" w:rsidRPr="00D736B6" w:rsidRDefault="00333FAA" w:rsidP="00333FAA">
      <w:pPr>
        <w:pStyle w:val="Heading2"/>
        <w:keepNext/>
        <w:rPr>
          <w:color w:val="FF0000"/>
        </w:rPr>
      </w:pPr>
      <w:r w:rsidRPr="00D736B6">
        <w:t>Equalities implications</w:t>
      </w:r>
      <w:r w:rsidR="001C7E35" w:rsidRPr="00D736B6">
        <w:t xml:space="preserve"> </w:t>
      </w:r>
      <w:r w:rsidRPr="00D736B6">
        <w:t>/</w:t>
      </w:r>
      <w:r w:rsidR="001C7E35" w:rsidRPr="00D736B6">
        <w:t xml:space="preserve"> </w:t>
      </w:r>
      <w:r w:rsidRPr="00D736B6">
        <w:t>Public Sector Equality Duty</w:t>
      </w:r>
    </w:p>
    <w:p w14:paraId="34B7A0FA" w14:textId="77777777" w:rsidR="0054590F" w:rsidRPr="00D736B6" w:rsidRDefault="0054590F" w:rsidP="001966D7"/>
    <w:p w14:paraId="60A5E88D" w14:textId="6BB1CA56" w:rsidR="00ED30FB" w:rsidRPr="00D736B6" w:rsidRDefault="004E43CE" w:rsidP="00ED30FB">
      <w:pPr>
        <w:ind w:left="426" w:hanging="426"/>
        <w:jc w:val="both"/>
      </w:pPr>
      <w:proofErr w:type="gramStart"/>
      <w:r w:rsidRPr="00D736B6">
        <w:t>5.</w:t>
      </w:r>
      <w:r w:rsidR="00B5078D" w:rsidRPr="00D736B6">
        <w:t>16</w:t>
      </w:r>
      <w:r w:rsidRPr="00D736B6">
        <w:tab/>
      </w:r>
      <w:r w:rsidR="00FC2CEF" w:rsidRPr="00D736B6">
        <w:t>By definition, supplementary</w:t>
      </w:r>
      <w:proofErr w:type="gramEnd"/>
      <w:r w:rsidR="00FC2CEF" w:rsidRPr="00D736B6">
        <w:t xml:space="preserve"> planning documents cannot introduce new policies nor modify adopted polices and do not form a part of the development plan. Rather, their role is to supplement a ‘parent’ policy in a development plan document. The </w:t>
      </w:r>
      <w:r w:rsidR="00567401" w:rsidRPr="00D736B6">
        <w:t xml:space="preserve">amended </w:t>
      </w:r>
      <w:r w:rsidR="00FC2CEF" w:rsidRPr="00D736B6">
        <w:t>SPD the subject of this report supplements adopted policies within The Core Strategy and Local Policies Plan. A full equalities impact assessment was carried out at each formal stage in the preparation of the Core Strategy.</w:t>
      </w:r>
    </w:p>
    <w:p w14:paraId="52354BF8" w14:textId="77777777" w:rsidR="00FC2CEF" w:rsidRPr="00D736B6" w:rsidRDefault="00FC2CEF" w:rsidP="001966D7"/>
    <w:p w14:paraId="61B04FF8" w14:textId="21B45B35" w:rsidR="00333FAA" w:rsidRDefault="00333FAA" w:rsidP="00333FAA">
      <w:pPr>
        <w:rPr>
          <w:b/>
          <w:color w:val="FF0000"/>
          <w:sz w:val="28"/>
          <w:szCs w:val="28"/>
        </w:rPr>
      </w:pPr>
      <w:r w:rsidRPr="00B96FBE">
        <w:rPr>
          <w:b/>
          <w:sz w:val="28"/>
          <w:szCs w:val="28"/>
        </w:rPr>
        <w:t xml:space="preserve">Council </w:t>
      </w:r>
      <w:r w:rsidRPr="00CA7601">
        <w:rPr>
          <w:b/>
          <w:sz w:val="28"/>
          <w:szCs w:val="28"/>
        </w:rPr>
        <w:t>Priorities</w:t>
      </w:r>
      <w:r w:rsidR="00B43CBD">
        <w:rPr>
          <w:b/>
          <w:color w:val="FF0000"/>
          <w:sz w:val="28"/>
          <w:szCs w:val="28"/>
        </w:rPr>
        <w:t xml:space="preserve"> </w:t>
      </w:r>
    </w:p>
    <w:p w14:paraId="1F1BD719" w14:textId="0A17A191" w:rsidR="00943FB3" w:rsidRDefault="00943FB3" w:rsidP="00333FAA">
      <w:pPr>
        <w:rPr>
          <w:b/>
          <w:color w:val="FF0000"/>
          <w:sz w:val="28"/>
          <w:szCs w:val="28"/>
        </w:rPr>
      </w:pPr>
    </w:p>
    <w:p w14:paraId="479DF617" w14:textId="32C932E2" w:rsidR="00943FB3" w:rsidRDefault="00ED30FB" w:rsidP="00ED30FB">
      <w:pPr>
        <w:ind w:left="426" w:hanging="426"/>
        <w:jc w:val="both"/>
        <w:rPr>
          <w:bCs/>
          <w:szCs w:val="24"/>
        </w:rPr>
      </w:pPr>
      <w:r>
        <w:rPr>
          <w:bCs/>
          <w:szCs w:val="24"/>
        </w:rPr>
        <w:t>5.</w:t>
      </w:r>
      <w:r w:rsidR="00B5078D">
        <w:rPr>
          <w:bCs/>
          <w:szCs w:val="24"/>
        </w:rPr>
        <w:t>17</w:t>
      </w:r>
      <w:r>
        <w:rPr>
          <w:bCs/>
          <w:szCs w:val="24"/>
        </w:rPr>
        <w:tab/>
      </w:r>
      <w:r w:rsidR="001D3AFD" w:rsidRPr="004A3710">
        <w:rPr>
          <w:bCs/>
          <w:szCs w:val="24"/>
        </w:rPr>
        <w:t>The Cabinet Report</w:t>
      </w:r>
      <w:r w:rsidR="0046545F" w:rsidRPr="004A3710">
        <w:rPr>
          <w:bCs/>
          <w:szCs w:val="24"/>
        </w:rPr>
        <w:t xml:space="preserve"> </w:t>
      </w:r>
      <w:r w:rsidR="008D02AB" w:rsidRPr="004A3710">
        <w:rPr>
          <w:bCs/>
          <w:szCs w:val="24"/>
        </w:rPr>
        <w:t xml:space="preserve">of </w:t>
      </w:r>
      <w:r w:rsidR="00E2349B" w:rsidRPr="004A3710">
        <w:rPr>
          <w:bCs/>
          <w:szCs w:val="24"/>
        </w:rPr>
        <w:t>17</w:t>
      </w:r>
      <w:r w:rsidR="00E2349B" w:rsidRPr="004A3710">
        <w:rPr>
          <w:bCs/>
          <w:szCs w:val="24"/>
          <w:vertAlign w:val="superscript"/>
        </w:rPr>
        <w:t>th</w:t>
      </w:r>
      <w:r w:rsidR="00E2349B" w:rsidRPr="004A3710">
        <w:rPr>
          <w:bCs/>
          <w:szCs w:val="24"/>
        </w:rPr>
        <w:t xml:space="preserve"> December 2020 sought authority </w:t>
      </w:r>
      <w:r w:rsidR="00204295" w:rsidRPr="004A3710">
        <w:rPr>
          <w:bCs/>
          <w:szCs w:val="24"/>
        </w:rPr>
        <w:t xml:space="preserve">to consult on the draft </w:t>
      </w:r>
      <w:r w:rsidR="00860537" w:rsidRPr="004A3710">
        <w:rPr>
          <w:bCs/>
          <w:szCs w:val="24"/>
        </w:rPr>
        <w:t xml:space="preserve">Edgware Town Centre </w:t>
      </w:r>
      <w:r w:rsidR="00204295" w:rsidRPr="004A3710">
        <w:rPr>
          <w:bCs/>
          <w:szCs w:val="24"/>
        </w:rPr>
        <w:t xml:space="preserve">Supplementary </w:t>
      </w:r>
      <w:r w:rsidR="00DC3266" w:rsidRPr="004A3710">
        <w:rPr>
          <w:bCs/>
          <w:szCs w:val="24"/>
        </w:rPr>
        <w:t>Planning Document</w:t>
      </w:r>
      <w:r w:rsidR="00860537" w:rsidRPr="004A3710">
        <w:rPr>
          <w:bCs/>
          <w:szCs w:val="24"/>
        </w:rPr>
        <w:t xml:space="preserve">, </w:t>
      </w:r>
      <w:r w:rsidR="008A5E8B">
        <w:rPr>
          <w:bCs/>
          <w:szCs w:val="24"/>
        </w:rPr>
        <w:t xml:space="preserve">which set out how the draft SPD would achieve the council priorities. This </w:t>
      </w:r>
      <w:r w:rsidR="004937EC">
        <w:rPr>
          <w:bCs/>
          <w:szCs w:val="24"/>
        </w:rPr>
        <w:t xml:space="preserve">report was </w:t>
      </w:r>
      <w:r>
        <w:rPr>
          <w:bCs/>
          <w:szCs w:val="24"/>
        </w:rPr>
        <w:t xml:space="preserve">subsequently </w:t>
      </w:r>
      <w:r w:rsidR="00567401">
        <w:rPr>
          <w:bCs/>
          <w:szCs w:val="24"/>
        </w:rPr>
        <w:t xml:space="preserve">agreed </w:t>
      </w:r>
      <w:r w:rsidR="004937EC">
        <w:rPr>
          <w:bCs/>
          <w:szCs w:val="24"/>
        </w:rPr>
        <w:t>by Cabinet</w:t>
      </w:r>
      <w:r w:rsidR="00860537" w:rsidRPr="004A3710">
        <w:rPr>
          <w:bCs/>
          <w:szCs w:val="24"/>
        </w:rPr>
        <w:t xml:space="preserve">. </w:t>
      </w:r>
    </w:p>
    <w:p w14:paraId="26816D68" w14:textId="77777777" w:rsidR="00281453" w:rsidRDefault="00281453" w:rsidP="00ED30FB">
      <w:pPr>
        <w:ind w:left="426" w:hanging="426"/>
        <w:jc w:val="both"/>
        <w:rPr>
          <w:bCs/>
          <w:szCs w:val="24"/>
        </w:rPr>
      </w:pPr>
    </w:p>
    <w:p w14:paraId="6B8F944B" w14:textId="580AD639" w:rsidR="00ED30FB" w:rsidRDefault="00ED30FB" w:rsidP="00ED30FB">
      <w:pPr>
        <w:ind w:left="426" w:hanging="426"/>
        <w:jc w:val="both"/>
        <w:rPr>
          <w:bCs/>
          <w:szCs w:val="24"/>
        </w:rPr>
      </w:pPr>
      <w:r>
        <w:rPr>
          <w:bCs/>
          <w:szCs w:val="24"/>
        </w:rPr>
        <w:t>5.</w:t>
      </w:r>
      <w:r w:rsidR="00B5078D">
        <w:rPr>
          <w:bCs/>
          <w:szCs w:val="24"/>
        </w:rPr>
        <w:t>18</w:t>
      </w:r>
      <w:r>
        <w:rPr>
          <w:bCs/>
          <w:szCs w:val="24"/>
        </w:rPr>
        <w:tab/>
      </w:r>
      <w:r w:rsidR="00281453">
        <w:rPr>
          <w:bCs/>
          <w:szCs w:val="24"/>
        </w:rPr>
        <w:t xml:space="preserve">The draft SPD has now been through the formal consultation process, with </w:t>
      </w:r>
      <w:r w:rsidR="0033244B">
        <w:rPr>
          <w:bCs/>
          <w:szCs w:val="24"/>
        </w:rPr>
        <w:t xml:space="preserve">feedback now </w:t>
      </w:r>
      <w:r w:rsidR="008E1CAC">
        <w:rPr>
          <w:bCs/>
          <w:szCs w:val="24"/>
        </w:rPr>
        <w:t xml:space="preserve">collated </w:t>
      </w:r>
      <w:r w:rsidR="00947D7D">
        <w:rPr>
          <w:bCs/>
          <w:szCs w:val="24"/>
        </w:rPr>
        <w:t xml:space="preserve">and </w:t>
      </w:r>
      <w:r w:rsidR="004157A0">
        <w:rPr>
          <w:bCs/>
          <w:szCs w:val="24"/>
        </w:rPr>
        <w:t xml:space="preserve">considered. </w:t>
      </w:r>
      <w:r w:rsidR="00402FFA">
        <w:rPr>
          <w:bCs/>
          <w:szCs w:val="24"/>
        </w:rPr>
        <w:t>Where appropriate, the draft SPD has been amended to positively respond to the consultation feedback. However, officers consider that the amendments</w:t>
      </w:r>
      <w:r w:rsidR="00702CB7">
        <w:rPr>
          <w:bCs/>
          <w:szCs w:val="24"/>
        </w:rPr>
        <w:t>, whilst where appro</w:t>
      </w:r>
      <w:r w:rsidR="00E22CB0">
        <w:rPr>
          <w:bCs/>
          <w:szCs w:val="24"/>
        </w:rPr>
        <w:t>pri</w:t>
      </w:r>
      <w:r w:rsidR="00702CB7">
        <w:rPr>
          <w:bCs/>
          <w:szCs w:val="24"/>
        </w:rPr>
        <w:t>ate provide</w:t>
      </w:r>
      <w:r w:rsidR="00E22CB0">
        <w:rPr>
          <w:bCs/>
          <w:szCs w:val="24"/>
        </w:rPr>
        <w:t xml:space="preserve"> a response to the </w:t>
      </w:r>
      <w:r w:rsidR="00056913">
        <w:rPr>
          <w:bCs/>
          <w:szCs w:val="24"/>
        </w:rPr>
        <w:t>consultation</w:t>
      </w:r>
      <w:r w:rsidR="00E22CB0">
        <w:rPr>
          <w:bCs/>
          <w:szCs w:val="24"/>
        </w:rPr>
        <w:t xml:space="preserve"> received, they nonetheless ensure that </w:t>
      </w:r>
      <w:r w:rsidR="00056913">
        <w:rPr>
          <w:bCs/>
          <w:szCs w:val="24"/>
        </w:rPr>
        <w:t>the</w:t>
      </w:r>
      <w:r w:rsidR="00E22CB0">
        <w:rPr>
          <w:bCs/>
          <w:szCs w:val="24"/>
        </w:rPr>
        <w:t xml:space="preserve"> </w:t>
      </w:r>
      <w:r w:rsidR="00056913">
        <w:rPr>
          <w:bCs/>
          <w:szCs w:val="24"/>
        </w:rPr>
        <w:t>original</w:t>
      </w:r>
      <w:r w:rsidR="00E22CB0">
        <w:rPr>
          <w:bCs/>
          <w:szCs w:val="24"/>
        </w:rPr>
        <w:t xml:space="preserve"> purpose of the SPD would still be achieved. </w:t>
      </w:r>
      <w:r w:rsidR="00056913">
        <w:rPr>
          <w:bCs/>
          <w:szCs w:val="24"/>
        </w:rPr>
        <w:t xml:space="preserve">Furthermore, officers also consider that by </w:t>
      </w:r>
      <w:r w:rsidR="007425E8">
        <w:rPr>
          <w:bCs/>
          <w:szCs w:val="24"/>
        </w:rPr>
        <w:t>achieving</w:t>
      </w:r>
      <w:r w:rsidR="00056913">
        <w:rPr>
          <w:bCs/>
          <w:szCs w:val="24"/>
        </w:rPr>
        <w:t xml:space="preserve"> this, the </w:t>
      </w:r>
      <w:r w:rsidR="007425E8">
        <w:rPr>
          <w:bCs/>
          <w:szCs w:val="24"/>
        </w:rPr>
        <w:t>amended SPD would continue to achieve the Council priorities as set out and agreed within the previous Cabinet Report.</w:t>
      </w:r>
    </w:p>
    <w:p w14:paraId="3D9DDD3A" w14:textId="77777777" w:rsidR="002321BF" w:rsidRDefault="002321BF" w:rsidP="002321BF">
      <w:pPr>
        <w:jc w:val="both"/>
        <w:rPr>
          <w:bCs/>
          <w:szCs w:val="24"/>
        </w:rPr>
      </w:pPr>
    </w:p>
    <w:p w14:paraId="10B88E0C" w14:textId="795BF675" w:rsidR="007425E8" w:rsidRDefault="007425E8" w:rsidP="00ED30FB">
      <w:pPr>
        <w:ind w:left="426" w:hanging="426"/>
        <w:jc w:val="both"/>
        <w:rPr>
          <w:bCs/>
          <w:szCs w:val="24"/>
        </w:rPr>
      </w:pPr>
      <w:r>
        <w:rPr>
          <w:bCs/>
          <w:szCs w:val="24"/>
        </w:rPr>
        <w:t>5.</w:t>
      </w:r>
      <w:r w:rsidR="00B5078D">
        <w:rPr>
          <w:bCs/>
          <w:szCs w:val="24"/>
        </w:rPr>
        <w:t>19</w:t>
      </w:r>
      <w:r>
        <w:rPr>
          <w:bCs/>
          <w:szCs w:val="24"/>
        </w:rPr>
        <w:tab/>
        <w:t xml:space="preserve">By reason of the above, </w:t>
      </w:r>
      <w:r w:rsidR="002321BF">
        <w:rPr>
          <w:bCs/>
          <w:szCs w:val="24"/>
        </w:rPr>
        <w:t xml:space="preserve">this current Cabinet Report for the authority to adopt the amended SPD as detailed above, does not re-provide the appraisal against the Council priorities. </w:t>
      </w:r>
    </w:p>
    <w:p w14:paraId="4ADEF8AB" w14:textId="77777777" w:rsidR="00ED30FB" w:rsidRPr="004A3710" w:rsidRDefault="00ED30FB" w:rsidP="004A3710">
      <w:pPr>
        <w:jc w:val="both"/>
        <w:rPr>
          <w:bCs/>
          <w:szCs w:val="24"/>
        </w:rPr>
      </w:pPr>
    </w:p>
    <w:p w14:paraId="2CD6EA4F" w14:textId="77862D74" w:rsidR="006457F5" w:rsidRPr="00803A60" w:rsidRDefault="002321BF" w:rsidP="006457F5">
      <w:pPr>
        <w:pStyle w:val="Heading2"/>
        <w:spacing w:before="480" w:after="240"/>
        <w:rPr>
          <w:rFonts w:ascii="Arial Black" w:hAnsi="Arial Black"/>
          <w:sz w:val="32"/>
        </w:rPr>
      </w:pPr>
      <w:r w:rsidRPr="00803A60">
        <w:rPr>
          <w:rFonts w:ascii="Arial Black" w:hAnsi="Arial Black"/>
          <w:sz w:val="32"/>
        </w:rPr>
        <w:t>S</w:t>
      </w:r>
      <w:r w:rsidR="006457F5" w:rsidRPr="00803A60">
        <w:rPr>
          <w:rFonts w:ascii="Arial Black" w:hAnsi="Arial Black"/>
          <w:sz w:val="32"/>
        </w:rPr>
        <w:t>ection 3 - Statutory Officer Clearance</w:t>
      </w:r>
    </w:p>
    <w:p w14:paraId="122F3004" w14:textId="35EA275B" w:rsidR="006457F5" w:rsidRPr="00A66326" w:rsidRDefault="006457F5" w:rsidP="006457F5">
      <w:pPr>
        <w:rPr>
          <w:sz w:val="28"/>
        </w:rPr>
      </w:pPr>
      <w:r w:rsidRPr="00A66326">
        <w:rPr>
          <w:b/>
          <w:sz w:val="28"/>
        </w:rPr>
        <w:t xml:space="preserve">Statutory Officer:  </w:t>
      </w:r>
      <w:r>
        <w:rPr>
          <w:b/>
          <w:sz w:val="28"/>
        </w:rPr>
        <w:t>Jessie Man</w:t>
      </w:r>
    </w:p>
    <w:p w14:paraId="3751C279" w14:textId="0B709820" w:rsidR="006457F5" w:rsidRPr="00A66326" w:rsidRDefault="006457F5" w:rsidP="006457F5">
      <w:r w:rsidRPr="00A66326">
        <w:t xml:space="preserve">Signed on behalf </w:t>
      </w:r>
      <w:r w:rsidR="000D2337" w:rsidRPr="00A66326">
        <w:t>of the</w:t>
      </w:r>
      <w:r w:rsidRPr="00A66326">
        <w:t xml:space="preserve"> Chief Financial Officer</w:t>
      </w:r>
    </w:p>
    <w:p w14:paraId="1A990B42" w14:textId="5995D321" w:rsidR="006457F5" w:rsidRPr="00A66326" w:rsidRDefault="006457F5" w:rsidP="006457F5">
      <w:pPr>
        <w:spacing w:after="480"/>
        <w:rPr>
          <w:sz w:val="28"/>
        </w:rPr>
      </w:pPr>
      <w:r w:rsidRPr="00A66326">
        <w:rPr>
          <w:b/>
          <w:sz w:val="28"/>
        </w:rPr>
        <w:t xml:space="preserve">Date:  </w:t>
      </w:r>
      <w:r w:rsidR="005E158F">
        <w:rPr>
          <w:b/>
          <w:sz w:val="28"/>
        </w:rPr>
        <w:t>28</w:t>
      </w:r>
      <w:r w:rsidR="005E158F" w:rsidRPr="00E45C96">
        <w:rPr>
          <w:b/>
          <w:sz w:val="28"/>
          <w:vertAlign w:val="superscript"/>
        </w:rPr>
        <w:t>th</w:t>
      </w:r>
      <w:r w:rsidR="005E158F">
        <w:rPr>
          <w:b/>
          <w:sz w:val="28"/>
        </w:rPr>
        <w:t xml:space="preserve"> May 2021</w:t>
      </w:r>
    </w:p>
    <w:p w14:paraId="7C51904E" w14:textId="69381D91" w:rsidR="006457F5" w:rsidRPr="00A66326" w:rsidRDefault="006457F5" w:rsidP="006457F5">
      <w:pPr>
        <w:rPr>
          <w:sz w:val="28"/>
        </w:rPr>
      </w:pPr>
      <w:r w:rsidRPr="00A66326">
        <w:rPr>
          <w:b/>
          <w:sz w:val="28"/>
        </w:rPr>
        <w:t xml:space="preserve">Statutory Officer:  </w:t>
      </w:r>
      <w:r>
        <w:rPr>
          <w:b/>
          <w:sz w:val="28"/>
        </w:rPr>
        <w:t>Patrick Kelly</w:t>
      </w:r>
    </w:p>
    <w:p w14:paraId="6019FC6A" w14:textId="510C0566" w:rsidR="006457F5" w:rsidRPr="00A66326" w:rsidRDefault="006457F5" w:rsidP="006457F5">
      <w:r w:rsidRPr="00A66326">
        <w:t>Signed on behalf of the Monitoring Officer</w:t>
      </w:r>
    </w:p>
    <w:p w14:paraId="3B73D325" w14:textId="63D1863B" w:rsidR="006457F5" w:rsidRPr="003313EA" w:rsidRDefault="006457F5" w:rsidP="006457F5">
      <w:pPr>
        <w:spacing w:after="480"/>
        <w:rPr>
          <w:sz w:val="28"/>
        </w:rPr>
      </w:pPr>
      <w:r w:rsidRPr="00A66326">
        <w:rPr>
          <w:b/>
          <w:sz w:val="28"/>
        </w:rPr>
        <w:t xml:space="preserve">Date:  </w:t>
      </w:r>
      <w:r w:rsidR="005E158F">
        <w:rPr>
          <w:b/>
          <w:sz w:val="28"/>
        </w:rPr>
        <w:t>28</w:t>
      </w:r>
      <w:r w:rsidR="005E158F" w:rsidRPr="00E45C96">
        <w:rPr>
          <w:b/>
          <w:sz w:val="28"/>
          <w:vertAlign w:val="superscript"/>
        </w:rPr>
        <w:t>th</w:t>
      </w:r>
      <w:r w:rsidR="005E158F">
        <w:rPr>
          <w:b/>
          <w:sz w:val="28"/>
        </w:rPr>
        <w:t xml:space="preserve"> May 2021</w:t>
      </w:r>
    </w:p>
    <w:p w14:paraId="65780011" w14:textId="59A1AF77" w:rsidR="006457F5" w:rsidRPr="003313EA" w:rsidRDefault="006457F5" w:rsidP="006457F5">
      <w:pPr>
        <w:rPr>
          <w:sz w:val="28"/>
        </w:rPr>
      </w:pPr>
      <w:r w:rsidRPr="00A66326">
        <w:rPr>
          <w:b/>
          <w:sz w:val="28"/>
        </w:rPr>
        <w:t xml:space="preserve">Statutory Officer:  </w:t>
      </w:r>
      <w:r>
        <w:rPr>
          <w:b/>
          <w:sz w:val="28"/>
        </w:rPr>
        <w:t>Lisa Taylor</w:t>
      </w:r>
    </w:p>
    <w:p w14:paraId="47A76CE8" w14:textId="3B575227" w:rsidR="006457F5" w:rsidRPr="003313EA" w:rsidRDefault="006457F5" w:rsidP="006457F5">
      <w:r w:rsidRPr="003313EA">
        <w:lastRenderedPageBreak/>
        <w:t>Signed on behalf of the Head of Procurement</w:t>
      </w:r>
    </w:p>
    <w:p w14:paraId="78DE2C68" w14:textId="78177F30" w:rsidR="006457F5" w:rsidRPr="00A66326" w:rsidRDefault="006457F5" w:rsidP="006457F5">
      <w:pPr>
        <w:spacing w:after="480"/>
        <w:rPr>
          <w:sz w:val="28"/>
        </w:rPr>
      </w:pPr>
      <w:r w:rsidRPr="00A66326">
        <w:rPr>
          <w:b/>
          <w:sz w:val="28"/>
        </w:rPr>
        <w:t xml:space="preserve">Date:  </w:t>
      </w:r>
      <w:r w:rsidR="00E45C96">
        <w:rPr>
          <w:b/>
          <w:sz w:val="28"/>
        </w:rPr>
        <w:t>27</w:t>
      </w:r>
      <w:r w:rsidR="00E45C96" w:rsidRPr="00E45C96">
        <w:rPr>
          <w:b/>
          <w:sz w:val="28"/>
          <w:vertAlign w:val="superscript"/>
        </w:rPr>
        <w:t>th</w:t>
      </w:r>
      <w:r w:rsidR="00E45C96">
        <w:rPr>
          <w:b/>
          <w:sz w:val="28"/>
        </w:rPr>
        <w:t xml:space="preserve"> May 2021</w:t>
      </w:r>
    </w:p>
    <w:p w14:paraId="7E5A79C8" w14:textId="1C91B0C7" w:rsidR="006457F5" w:rsidRPr="00A66326" w:rsidRDefault="006457F5" w:rsidP="006457F5">
      <w:pPr>
        <w:rPr>
          <w:sz w:val="28"/>
        </w:rPr>
      </w:pPr>
      <w:r w:rsidRPr="00A66326">
        <w:rPr>
          <w:b/>
          <w:sz w:val="28"/>
        </w:rPr>
        <w:t xml:space="preserve">Statutory Officer:  </w:t>
      </w:r>
      <w:r w:rsidR="009B2206">
        <w:rPr>
          <w:b/>
          <w:sz w:val="28"/>
        </w:rPr>
        <w:t xml:space="preserve">Mark Billington </w:t>
      </w:r>
    </w:p>
    <w:p w14:paraId="6FFED787" w14:textId="3A535365" w:rsidR="006457F5" w:rsidRPr="00A66326" w:rsidRDefault="006457F5" w:rsidP="006457F5">
      <w:r>
        <w:t>Signed</w:t>
      </w:r>
      <w:r w:rsidRPr="00A66326">
        <w:t xml:space="preserve"> by the </w:t>
      </w:r>
      <w:r w:rsidR="00803A60">
        <w:t xml:space="preserve">Acting </w:t>
      </w:r>
      <w:r w:rsidRPr="00A66326">
        <w:t>Corporate Director</w:t>
      </w:r>
    </w:p>
    <w:p w14:paraId="5FC85722" w14:textId="683821E9" w:rsidR="006457F5" w:rsidRDefault="006457F5" w:rsidP="006457F5">
      <w:pPr>
        <w:spacing w:after="480"/>
        <w:rPr>
          <w:b/>
          <w:sz w:val="28"/>
        </w:rPr>
      </w:pPr>
      <w:r w:rsidRPr="00A66326">
        <w:rPr>
          <w:b/>
          <w:sz w:val="28"/>
        </w:rPr>
        <w:t xml:space="preserve">Date:  </w:t>
      </w:r>
      <w:r w:rsidR="00147BBC">
        <w:rPr>
          <w:b/>
          <w:sz w:val="28"/>
        </w:rPr>
        <w:t>2</w:t>
      </w:r>
      <w:r w:rsidR="00147BBC" w:rsidRPr="00147BBC">
        <w:rPr>
          <w:b/>
          <w:sz w:val="28"/>
          <w:vertAlign w:val="superscript"/>
        </w:rPr>
        <w:t>nd</w:t>
      </w:r>
      <w:r w:rsidR="00147BBC">
        <w:rPr>
          <w:b/>
          <w:sz w:val="28"/>
        </w:rPr>
        <w:t xml:space="preserve"> June 2021</w:t>
      </w:r>
    </w:p>
    <w:p w14:paraId="23C3AE3C" w14:textId="16B16021" w:rsidR="006457F5" w:rsidRPr="00A66326" w:rsidRDefault="006457F5" w:rsidP="006457F5">
      <w:pPr>
        <w:rPr>
          <w:sz w:val="28"/>
        </w:rPr>
      </w:pPr>
      <w:r w:rsidRPr="00A66326">
        <w:rPr>
          <w:b/>
          <w:sz w:val="28"/>
        </w:rPr>
        <w:t xml:space="preserve">Statutory Officer:  </w:t>
      </w:r>
      <w:r>
        <w:rPr>
          <w:b/>
          <w:sz w:val="28"/>
        </w:rPr>
        <w:t xml:space="preserve">Susan </w:t>
      </w:r>
      <w:r w:rsidRPr="00147BBC">
        <w:rPr>
          <w:b/>
          <w:sz w:val="28"/>
        </w:rPr>
        <w:t>Dixson</w:t>
      </w:r>
    </w:p>
    <w:p w14:paraId="25000971" w14:textId="2CF3CA10" w:rsidR="006457F5" w:rsidRPr="00366908" w:rsidRDefault="006457F5" w:rsidP="006457F5">
      <w:r w:rsidRPr="00366908">
        <w:t>Signed by the Head of Internal Audit</w:t>
      </w:r>
    </w:p>
    <w:p w14:paraId="29266EFB" w14:textId="4C79CF0C" w:rsidR="006457F5" w:rsidRPr="00A66326" w:rsidRDefault="006457F5" w:rsidP="006457F5">
      <w:pPr>
        <w:spacing w:after="480"/>
        <w:rPr>
          <w:sz w:val="28"/>
        </w:rPr>
      </w:pPr>
      <w:r w:rsidRPr="00A66326">
        <w:rPr>
          <w:b/>
          <w:sz w:val="28"/>
        </w:rPr>
        <w:t xml:space="preserve">Date:  </w:t>
      </w:r>
      <w:r w:rsidR="00147BBC">
        <w:rPr>
          <w:b/>
          <w:sz w:val="28"/>
        </w:rPr>
        <w:t>2</w:t>
      </w:r>
      <w:r w:rsidR="00147BBC" w:rsidRPr="00147BBC">
        <w:rPr>
          <w:b/>
          <w:sz w:val="28"/>
          <w:vertAlign w:val="superscript"/>
        </w:rPr>
        <w:t>nd</w:t>
      </w:r>
      <w:r w:rsidR="00147BBC">
        <w:rPr>
          <w:b/>
          <w:sz w:val="28"/>
        </w:rPr>
        <w:t xml:space="preserve"> June 2021</w:t>
      </w:r>
    </w:p>
    <w:p w14:paraId="427C4C6E" w14:textId="77777777" w:rsidR="006457F5" w:rsidRPr="00435B5D" w:rsidRDefault="006457F5" w:rsidP="006457F5">
      <w:pPr>
        <w:pStyle w:val="Heading2"/>
        <w:spacing w:after="240"/>
      </w:pPr>
      <w:r>
        <w:t>Mandatory Checks</w:t>
      </w:r>
    </w:p>
    <w:p w14:paraId="358CE91C" w14:textId="4F643874" w:rsidR="006457F5" w:rsidRDefault="006457F5" w:rsidP="006457F5">
      <w:pPr>
        <w:pStyle w:val="Heading3"/>
        <w:ind w:left="0" w:firstLine="0"/>
        <w:jc w:val="left"/>
      </w:pPr>
      <w:r w:rsidRPr="003313EA">
        <w:t xml:space="preserve">Ward Councillors </w:t>
      </w:r>
      <w:r>
        <w:t xml:space="preserve">notified:  </w:t>
      </w:r>
      <w:r w:rsidRPr="00A406F3">
        <w:t>YES</w:t>
      </w:r>
      <w:r w:rsidR="00803A60">
        <w:t xml:space="preserve"> - Canons and Edgware Members</w:t>
      </w:r>
    </w:p>
    <w:p w14:paraId="338376F9" w14:textId="77777777" w:rsidR="00803A60" w:rsidRDefault="00803A60" w:rsidP="00803A60">
      <w:pPr>
        <w:pStyle w:val="Heading3"/>
        <w:ind w:left="0" w:firstLine="0"/>
        <w:jc w:val="left"/>
      </w:pPr>
    </w:p>
    <w:p w14:paraId="610DC483" w14:textId="1795648F" w:rsidR="006457F5" w:rsidRPr="00803A60" w:rsidRDefault="006457F5" w:rsidP="00803A60">
      <w:pPr>
        <w:pStyle w:val="Heading3"/>
        <w:ind w:left="0" w:firstLine="0"/>
        <w:jc w:val="left"/>
      </w:pPr>
      <w:proofErr w:type="spellStart"/>
      <w:r w:rsidRPr="00202D79">
        <w:t>EqIA</w:t>
      </w:r>
      <w:proofErr w:type="spellEnd"/>
      <w:r w:rsidRPr="00202D79">
        <w:t xml:space="preserve"> carried out:</w:t>
      </w:r>
      <w:r>
        <w:t xml:space="preserve">  </w:t>
      </w:r>
      <w:r w:rsidRPr="00202D79">
        <w:t>NO</w:t>
      </w:r>
      <w:r w:rsidR="00803A60">
        <w:t xml:space="preserve"> - </w:t>
      </w:r>
      <w:r w:rsidR="00803A60" w:rsidRPr="00803A60">
        <w:t>E</w:t>
      </w:r>
      <w:r w:rsidR="00803A60">
        <w:t xml:space="preserve">qualities Impact Assessment carried by </w:t>
      </w:r>
      <w:r w:rsidR="00366908">
        <w:t>LB Barnet</w:t>
      </w:r>
      <w:r w:rsidR="00803A60">
        <w:t xml:space="preserve"> </w:t>
      </w:r>
    </w:p>
    <w:p w14:paraId="78B07488" w14:textId="181CB71F" w:rsidR="006457F5" w:rsidRPr="00303FD6" w:rsidRDefault="006457F5" w:rsidP="006457F5">
      <w:pPr>
        <w:pStyle w:val="Heading3"/>
        <w:spacing w:before="240"/>
        <w:jc w:val="left"/>
        <w:rPr>
          <w:color w:val="FF0000"/>
        </w:rPr>
      </w:pPr>
      <w:proofErr w:type="spellStart"/>
      <w:r w:rsidRPr="00202D79">
        <w:t>EqIA</w:t>
      </w:r>
      <w:proofErr w:type="spellEnd"/>
      <w:r w:rsidRPr="00202D79">
        <w:t xml:space="preserve"> cleared </w:t>
      </w:r>
      <w:proofErr w:type="gramStart"/>
      <w:r w:rsidRPr="00202D79">
        <w:t>by:</w:t>
      </w:r>
      <w:proofErr w:type="gramEnd"/>
      <w:r>
        <w:t xml:space="preserve">  </w:t>
      </w:r>
      <w:r w:rsidR="00803A60">
        <w:t>n/a</w:t>
      </w:r>
    </w:p>
    <w:p w14:paraId="69A69AAB" w14:textId="37887733" w:rsidR="006457F5" w:rsidRDefault="006457F5" w:rsidP="00333FAA"/>
    <w:p w14:paraId="0951BAA5" w14:textId="1F71FAA0" w:rsidR="006457F5" w:rsidRDefault="006457F5" w:rsidP="00333FAA"/>
    <w:p w14:paraId="1C037B21" w14:textId="77777777" w:rsidR="00333FAA" w:rsidRPr="00B96FBE" w:rsidRDefault="00333FAA" w:rsidP="00333FAA">
      <w:pPr>
        <w:pStyle w:val="Heading1"/>
        <w:keepNext/>
      </w:pPr>
      <w:r w:rsidRPr="00B96FBE">
        <w:t xml:space="preserve">Section </w:t>
      </w:r>
      <w:r w:rsidR="00A20113" w:rsidRPr="00B96FBE">
        <w:t>4</w:t>
      </w:r>
      <w:r w:rsidRPr="00B96FBE">
        <w:t xml:space="preserve"> - Contact Details and Background Papers</w:t>
      </w:r>
    </w:p>
    <w:p w14:paraId="4C975942" w14:textId="77777777" w:rsidR="00333FAA" w:rsidRPr="00B96FBE" w:rsidRDefault="00333FAA" w:rsidP="00333FAA">
      <w:pPr>
        <w:keepNext/>
        <w:rPr>
          <w:rFonts w:cs="Arial"/>
        </w:rPr>
      </w:pPr>
    </w:p>
    <w:p w14:paraId="654822A0" w14:textId="77777777" w:rsidR="00333FAA" w:rsidRPr="00B96FBE" w:rsidRDefault="00333FAA" w:rsidP="00333FAA">
      <w:pPr>
        <w:keepNext/>
        <w:rPr>
          <w:rFonts w:cs="Arial"/>
        </w:rPr>
      </w:pPr>
    </w:p>
    <w:p w14:paraId="1B653250" w14:textId="5DC11DAA" w:rsidR="00333FAA" w:rsidRPr="00366908" w:rsidRDefault="00333FAA" w:rsidP="00333FAA">
      <w:pPr>
        <w:pStyle w:val="Infotext"/>
        <w:rPr>
          <w:bCs/>
          <w:color w:val="FF0000"/>
        </w:rPr>
      </w:pPr>
      <w:r w:rsidRPr="00B96FBE">
        <w:rPr>
          <w:b/>
        </w:rPr>
        <w:t xml:space="preserve">Contact:  </w:t>
      </w:r>
      <w:r w:rsidR="00FC2CEF" w:rsidRPr="00366908">
        <w:rPr>
          <w:bCs/>
        </w:rPr>
        <w:t xml:space="preserve">Callum Sayers, Planning Policy Officer, </w:t>
      </w:r>
      <w:hyperlink r:id="rId14" w:history="1">
        <w:r w:rsidR="00D55627" w:rsidRPr="00366908">
          <w:rPr>
            <w:rStyle w:val="Hyperlink"/>
            <w:bCs/>
          </w:rPr>
          <w:t>callum.sayers@harrow.gov.uk</w:t>
        </w:r>
      </w:hyperlink>
      <w:r w:rsidR="00D55627" w:rsidRPr="00366908">
        <w:rPr>
          <w:bCs/>
        </w:rPr>
        <w:t xml:space="preserve"> </w:t>
      </w:r>
    </w:p>
    <w:p w14:paraId="1447E6E8" w14:textId="77777777" w:rsidR="00333FAA" w:rsidRPr="00B96FBE" w:rsidRDefault="00333FAA" w:rsidP="00333FAA"/>
    <w:p w14:paraId="77FCEC61" w14:textId="77777777" w:rsidR="00BC0953" w:rsidRDefault="00333FAA" w:rsidP="00333FAA">
      <w:pPr>
        <w:pStyle w:val="Infotext"/>
        <w:rPr>
          <w:b/>
        </w:rPr>
      </w:pPr>
      <w:r w:rsidRPr="00B96FBE">
        <w:rPr>
          <w:b/>
        </w:rPr>
        <w:t xml:space="preserve">Background Papers: </w:t>
      </w:r>
      <w:r w:rsidR="005808FB" w:rsidRPr="00B96FBE">
        <w:rPr>
          <w:b/>
        </w:rPr>
        <w:t xml:space="preserve"> </w:t>
      </w:r>
    </w:p>
    <w:p w14:paraId="1C671215" w14:textId="77777777" w:rsidR="008C3D5C" w:rsidRPr="008C3D5C" w:rsidRDefault="008C3D5C" w:rsidP="008C3D5C">
      <w:pPr>
        <w:pStyle w:val="Infotext"/>
        <w:numPr>
          <w:ilvl w:val="0"/>
          <w:numId w:val="25"/>
        </w:numPr>
        <w:rPr>
          <w:bCs/>
        </w:rPr>
      </w:pPr>
      <w:r w:rsidRPr="008C3D5C">
        <w:rPr>
          <w:bCs/>
        </w:rPr>
        <w:t>Edgware Supplementary Planning Document: Equality Impact Assessment (June 2021)</w:t>
      </w:r>
    </w:p>
    <w:p w14:paraId="392D62F5" w14:textId="77777777" w:rsidR="008C3D5C" w:rsidRPr="008C3D5C" w:rsidRDefault="008C3D5C" w:rsidP="008C3D5C">
      <w:pPr>
        <w:pStyle w:val="Infotext"/>
        <w:numPr>
          <w:ilvl w:val="0"/>
          <w:numId w:val="25"/>
        </w:numPr>
        <w:rPr>
          <w:bCs/>
        </w:rPr>
      </w:pPr>
      <w:r w:rsidRPr="008C3D5C">
        <w:rPr>
          <w:bCs/>
        </w:rPr>
        <w:t>Edgware Supplementary Planning Document: Sustainability Appraisal (June 2021)</w:t>
      </w:r>
    </w:p>
    <w:p w14:paraId="1D3A14BE" w14:textId="77777777" w:rsidR="008C3D5C" w:rsidRPr="008C3D5C" w:rsidRDefault="008C3D5C" w:rsidP="008C3D5C">
      <w:pPr>
        <w:pStyle w:val="Infotext"/>
        <w:numPr>
          <w:ilvl w:val="0"/>
          <w:numId w:val="25"/>
        </w:numPr>
        <w:rPr>
          <w:bCs/>
        </w:rPr>
      </w:pPr>
      <w:r w:rsidRPr="008C3D5C">
        <w:rPr>
          <w:bCs/>
        </w:rPr>
        <w:t xml:space="preserve">Harrow Core Strategy (2012) </w:t>
      </w:r>
    </w:p>
    <w:p w14:paraId="77D6013E" w14:textId="77777777" w:rsidR="008C3D5C" w:rsidRPr="00803A60" w:rsidRDefault="008C3D5C" w:rsidP="008C3D5C">
      <w:pPr>
        <w:pStyle w:val="Infotext"/>
        <w:rPr>
          <w:b/>
        </w:rPr>
      </w:pPr>
    </w:p>
    <w:p w14:paraId="60737717" w14:textId="15317B58" w:rsidR="00803A60" w:rsidRDefault="00803A60" w:rsidP="00803A60">
      <w:pPr>
        <w:pStyle w:val="Infotext"/>
        <w:spacing w:before="480"/>
        <w:rPr>
          <w:rFonts w:ascii="Arial Black" w:hAnsi="Arial Black"/>
        </w:rPr>
      </w:pPr>
      <w:r>
        <w:rPr>
          <w:rFonts w:ascii="Arial Black" w:hAnsi="Arial Black"/>
        </w:rPr>
        <w:t>Call-in w</w:t>
      </w:r>
      <w:r w:rsidRPr="007C0DC3">
        <w:rPr>
          <w:rFonts w:ascii="Arial Black" w:hAnsi="Arial Black"/>
        </w:rPr>
        <w:t>aiv</w:t>
      </w:r>
      <w:bookmarkStart w:id="1" w:name="_GoBack"/>
      <w:bookmarkEnd w:id="1"/>
      <w:r w:rsidRPr="007C0DC3">
        <w:rPr>
          <w:rFonts w:ascii="Arial Black" w:hAnsi="Arial Black"/>
        </w:rPr>
        <w:t>ed by the Chair of Overview and Scrutiny Committee</w:t>
      </w:r>
    </w:p>
    <w:p w14:paraId="2655A448" w14:textId="4BAF9A24" w:rsidR="00803A60" w:rsidRDefault="00803A60" w:rsidP="00803A60">
      <w:pPr>
        <w:pStyle w:val="Infotext"/>
        <w:spacing w:before="480"/>
        <w:rPr>
          <w:rFonts w:ascii="Arial Black" w:hAnsi="Arial Black"/>
        </w:rPr>
      </w:pPr>
      <w:r w:rsidRPr="00B96FBE">
        <w:rPr>
          <w:b/>
        </w:rPr>
        <w:t>NO</w:t>
      </w:r>
    </w:p>
    <w:p w14:paraId="3C305FC8" w14:textId="77777777" w:rsidR="000D4E36" w:rsidRPr="00B96FBE" w:rsidRDefault="000D4E36" w:rsidP="001614E0"/>
    <w:sectPr w:rsidR="000D4E36" w:rsidRPr="00B96FBE"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1CA0" w14:textId="77777777" w:rsidR="00E23FC2" w:rsidRDefault="00E23FC2">
      <w:r>
        <w:separator/>
      </w:r>
    </w:p>
  </w:endnote>
  <w:endnote w:type="continuationSeparator" w:id="0">
    <w:p w14:paraId="5BEBD286" w14:textId="77777777" w:rsidR="00E23FC2" w:rsidRDefault="00E2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4415" w14:textId="77777777" w:rsidR="00E31DA2" w:rsidRPr="004F56C5" w:rsidRDefault="00E31DA2"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2CB2B" w14:textId="77777777" w:rsidR="00E23FC2" w:rsidRDefault="00E23FC2">
      <w:r>
        <w:separator/>
      </w:r>
    </w:p>
  </w:footnote>
  <w:footnote w:type="continuationSeparator" w:id="0">
    <w:p w14:paraId="50BEF90B" w14:textId="77777777" w:rsidR="00E23FC2" w:rsidRDefault="00E23FC2">
      <w:r>
        <w:continuationSeparator/>
      </w:r>
    </w:p>
  </w:footnote>
  <w:footnote w:id="1">
    <w:p w14:paraId="7F8BBB45" w14:textId="4C55F5C2" w:rsidR="00FF34D3" w:rsidRDefault="00FF34D3">
      <w:pPr>
        <w:pStyle w:val="FootnoteText"/>
      </w:pPr>
      <w:r>
        <w:rPr>
          <w:rStyle w:val="FootnoteReference"/>
        </w:rPr>
        <w:footnoteRef/>
      </w:r>
      <w:r>
        <w:t xml:space="preserve"> </w:t>
      </w:r>
      <w:r w:rsidR="00B32EF1">
        <w:t>Barnet Core Strategy 2012, Policy CS5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F855" w14:textId="77777777" w:rsidR="00E31DA2" w:rsidRDefault="00E31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573B" w14:textId="77777777" w:rsidR="00E31DA2" w:rsidRDefault="00E31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04"/>
    <w:multiLevelType w:val="hybridMultilevel"/>
    <w:tmpl w:val="CFD6ED94"/>
    <w:lvl w:ilvl="0" w:tplc="6EBC880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1B2DB6"/>
    <w:multiLevelType w:val="multilevel"/>
    <w:tmpl w:val="C54EDA7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2514729"/>
    <w:multiLevelType w:val="hybridMultilevel"/>
    <w:tmpl w:val="63C4B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40AB3"/>
    <w:multiLevelType w:val="hybridMultilevel"/>
    <w:tmpl w:val="582C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4774D25"/>
    <w:multiLevelType w:val="hybridMultilevel"/>
    <w:tmpl w:val="6F7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27576"/>
    <w:multiLevelType w:val="hybridMultilevel"/>
    <w:tmpl w:val="DE2032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43C16"/>
    <w:multiLevelType w:val="hybridMultilevel"/>
    <w:tmpl w:val="AF8ADE0A"/>
    <w:lvl w:ilvl="0" w:tplc="A7D8BE66">
      <w:start w:val="1"/>
      <w:numFmt w:val="bullet"/>
      <w:lvlText w:val="●"/>
      <w:lvlJc w:val="left"/>
      <w:pPr>
        <w:tabs>
          <w:tab w:val="num" w:pos="720"/>
        </w:tabs>
        <w:ind w:left="720" w:hanging="360"/>
      </w:pPr>
      <w:rPr>
        <w:rFonts w:ascii="Arial" w:hAnsi="Arial" w:hint="default"/>
      </w:rPr>
    </w:lvl>
    <w:lvl w:ilvl="1" w:tplc="EDC40A7C" w:tentative="1">
      <w:start w:val="1"/>
      <w:numFmt w:val="bullet"/>
      <w:lvlText w:val="●"/>
      <w:lvlJc w:val="left"/>
      <w:pPr>
        <w:tabs>
          <w:tab w:val="num" w:pos="1440"/>
        </w:tabs>
        <w:ind w:left="1440" w:hanging="360"/>
      </w:pPr>
      <w:rPr>
        <w:rFonts w:ascii="Arial" w:hAnsi="Arial" w:hint="default"/>
      </w:rPr>
    </w:lvl>
    <w:lvl w:ilvl="2" w:tplc="AD58BDAA" w:tentative="1">
      <w:start w:val="1"/>
      <w:numFmt w:val="bullet"/>
      <w:lvlText w:val="●"/>
      <w:lvlJc w:val="left"/>
      <w:pPr>
        <w:tabs>
          <w:tab w:val="num" w:pos="2160"/>
        </w:tabs>
        <w:ind w:left="2160" w:hanging="360"/>
      </w:pPr>
      <w:rPr>
        <w:rFonts w:ascii="Arial" w:hAnsi="Arial" w:hint="default"/>
      </w:rPr>
    </w:lvl>
    <w:lvl w:ilvl="3" w:tplc="B9A2012E" w:tentative="1">
      <w:start w:val="1"/>
      <w:numFmt w:val="bullet"/>
      <w:lvlText w:val="●"/>
      <w:lvlJc w:val="left"/>
      <w:pPr>
        <w:tabs>
          <w:tab w:val="num" w:pos="2880"/>
        </w:tabs>
        <w:ind w:left="2880" w:hanging="360"/>
      </w:pPr>
      <w:rPr>
        <w:rFonts w:ascii="Arial" w:hAnsi="Arial" w:hint="default"/>
      </w:rPr>
    </w:lvl>
    <w:lvl w:ilvl="4" w:tplc="ABB60E6E" w:tentative="1">
      <w:start w:val="1"/>
      <w:numFmt w:val="bullet"/>
      <w:lvlText w:val="●"/>
      <w:lvlJc w:val="left"/>
      <w:pPr>
        <w:tabs>
          <w:tab w:val="num" w:pos="3600"/>
        </w:tabs>
        <w:ind w:left="3600" w:hanging="360"/>
      </w:pPr>
      <w:rPr>
        <w:rFonts w:ascii="Arial" w:hAnsi="Arial" w:hint="default"/>
      </w:rPr>
    </w:lvl>
    <w:lvl w:ilvl="5" w:tplc="00644692" w:tentative="1">
      <w:start w:val="1"/>
      <w:numFmt w:val="bullet"/>
      <w:lvlText w:val="●"/>
      <w:lvlJc w:val="left"/>
      <w:pPr>
        <w:tabs>
          <w:tab w:val="num" w:pos="4320"/>
        </w:tabs>
        <w:ind w:left="4320" w:hanging="360"/>
      </w:pPr>
      <w:rPr>
        <w:rFonts w:ascii="Arial" w:hAnsi="Arial" w:hint="default"/>
      </w:rPr>
    </w:lvl>
    <w:lvl w:ilvl="6" w:tplc="C6FEBBD0" w:tentative="1">
      <w:start w:val="1"/>
      <w:numFmt w:val="bullet"/>
      <w:lvlText w:val="●"/>
      <w:lvlJc w:val="left"/>
      <w:pPr>
        <w:tabs>
          <w:tab w:val="num" w:pos="5040"/>
        </w:tabs>
        <w:ind w:left="5040" w:hanging="360"/>
      </w:pPr>
      <w:rPr>
        <w:rFonts w:ascii="Arial" w:hAnsi="Arial" w:hint="default"/>
      </w:rPr>
    </w:lvl>
    <w:lvl w:ilvl="7" w:tplc="A3BA90E8" w:tentative="1">
      <w:start w:val="1"/>
      <w:numFmt w:val="bullet"/>
      <w:lvlText w:val="●"/>
      <w:lvlJc w:val="left"/>
      <w:pPr>
        <w:tabs>
          <w:tab w:val="num" w:pos="5760"/>
        </w:tabs>
        <w:ind w:left="5760" w:hanging="360"/>
      </w:pPr>
      <w:rPr>
        <w:rFonts w:ascii="Arial" w:hAnsi="Arial" w:hint="default"/>
      </w:rPr>
    </w:lvl>
    <w:lvl w:ilvl="8" w:tplc="910277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C6DCA"/>
    <w:multiLevelType w:val="hybridMultilevel"/>
    <w:tmpl w:val="7ADA81EA"/>
    <w:lvl w:ilvl="0" w:tplc="5784D3C8">
      <w:start w:val="1"/>
      <w:numFmt w:val="bullet"/>
      <w:lvlText w:val="●"/>
      <w:lvlJc w:val="left"/>
      <w:pPr>
        <w:tabs>
          <w:tab w:val="num" w:pos="720"/>
        </w:tabs>
        <w:ind w:left="720" w:hanging="360"/>
      </w:pPr>
      <w:rPr>
        <w:rFonts w:ascii="Arial" w:hAnsi="Arial" w:hint="default"/>
      </w:rPr>
    </w:lvl>
    <w:lvl w:ilvl="1" w:tplc="1850160A" w:tentative="1">
      <w:start w:val="1"/>
      <w:numFmt w:val="bullet"/>
      <w:lvlText w:val="●"/>
      <w:lvlJc w:val="left"/>
      <w:pPr>
        <w:tabs>
          <w:tab w:val="num" w:pos="1440"/>
        </w:tabs>
        <w:ind w:left="1440" w:hanging="360"/>
      </w:pPr>
      <w:rPr>
        <w:rFonts w:ascii="Arial" w:hAnsi="Arial" w:hint="default"/>
      </w:rPr>
    </w:lvl>
    <w:lvl w:ilvl="2" w:tplc="C862F806" w:tentative="1">
      <w:start w:val="1"/>
      <w:numFmt w:val="bullet"/>
      <w:lvlText w:val="●"/>
      <w:lvlJc w:val="left"/>
      <w:pPr>
        <w:tabs>
          <w:tab w:val="num" w:pos="2160"/>
        </w:tabs>
        <w:ind w:left="2160" w:hanging="360"/>
      </w:pPr>
      <w:rPr>
        <w:rFonts w:ascii="Arial" w:hAnsi="Arial" w:hint="default"/>
      </w:rPr>
    </w:lvl>
    <w:lvl w:ilvl="3" w:tplc="AA74B140" w:tentative="1">
      <w:start w:val="1"/>
      <w:numFmt w:val="bullet"/>
      <w:lvlText w:val="●"/>
      <w:lvlJc w:val="left"/>
      <w:pPr>
        <w:tabs>
          <w:tab w:val="num" w:pos="2880"/>
        </w:tabs>
        <w:ind w:left="2880" w:hanging="360"/>
      </w:pPr>
      <w:rPr>
        <w:rFonts w:ascii="Arial" w:hAnsi="Arial" w:hint="default"/>
      </w:rPr>
    </w:lvl>
    <w:lvl w:ilvl="4" w:tplc="70AE5A0C" w:tentative="1">
      <w:start w:val="1"/>
      <w:numFmt w:val="bullet"/>
      <w:lvlText w:val="●"/>
      <w:lvlJc w:val="left"/>
      <w:pPr>
        <w:tabs>
          <w:tab w:val="num" w:pos="3600"/>
        </w:tabs>
        <w:ind w:left="3600" w:hanging="360"/>
      </w:pPr>
      <w:rPr>
        <w:rFonts w:ascii="Arial" w:hAnsi="Arial" w:hint="default"/>
      </w:rPr>
    </w:lvl>
    <w:lvl w:ilvl="5" w:tplc="F2DC994A" w:tentative="1">
      <w:start w:val="1"/>
      <w:numFmt w:val="bullet"/>
      <w:lvlText w:val="●"/>
      <w:lvlJc w:val="left"/>
      <w:pPr>
        <w:tabs>
          <w:tab w:val="num" w:pos="4320"/>
        </w:tabs>
        <w:ind w:left="4320" w:hanging="360"/>
      </w:pPr>
      <w:rPr>
        <w:rFonts w:ascii="Arial" w:hAnsi="Arial" w:hint="default"/>
      </w:rPr>
    </w:lvl>
    <w:lvl w:ilvl="6" w:tplc="594C43EA" w:tentative="1">
      <w:start w:val="1"/>
      <w:numFmt w:val="bullet"/>
      <w:lvlText w:val="●"/>
      <w:lvlJc w:val="left"/>
      <w:pPr>
        <w:tabs>
          <w:tab w:val="num" w:pos="5040"/>
        </w:tabs>
        <w:ind w:left="5040" w:hanging="360"/>
      </w:pPr>
      <w:rPr>
        <w:rFonts w:ascii="Arial" w:hAnsi="Arial" w:hint="default"/>
      </w:rPr>
    </w:lvl>
    <w:lvl w:ilvl="7" w:tplc="B4CA2DF0" w:tentative="1">
      <w:start w:val="1"/>
      <w:numFmt w:val="bullet"/>
      <w:lvlText w:val="●"/>
      <w:lvlJc w:val="left"/>
      <w:pPr>
        <w:tabs>
          <w:tab w:val="num" w:pos="5760"/>
        </w:tabs>
        <w:ind w:left="5760" w:hanging="360"/>
      </w:pPr>
      <w:rPr>
        <w:rFonts w:ascii="Arial" w:hAnsi="Arial" w:hint="default"/>
      </w:rPr>
    </w:lvl>
    <w:lvl w:ilvl="8" w:tplc="D592FF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0E2EB0"/>
    <w:multiLevelType w:val="hybridMultilevel"/>
    <w:tmpl w:val="32E00BF8"/>
    <w:lvl w:ilvl="0" w:tplc="8E781378">
      <w:start w:val="1"/>
      <w:numFmt w:val="lowerLetter"/>
      <w:lvlText w:val="%1)"/>
      <w:lvlJc w:val="left"/>
      <w:pPr>
        <w:ind w:left="1133" w:hanging="360"/>
      </w:pPr>
      <w:rPr>
        <w:rFonts w:hint="default"/>
      </w:rPr>
    </w:lvl>
    <w:lvl w:ilvl="1" w:tplc="08090019" w:tentative="1">
      <w:start w:val="1"/>
      <w:numFmt w:val="lowerLetter"/>
      <w:lvlText w:val="%2."/>
      <w:lvlJc w:val="left"/>
      <w:pPr>
        <w:ind w:left="1853" w:hanging="360"/>
      </w:pPr>
    </w:lvl>
    <w:lvl w:ilvl="2" w:tplc="0809001B" w:tentative="1">
      <w:start w:val="1"/>
      <w:numFmt w:val="lowerRoman"/>
      <w:lvlText w:val="%3."/>
      <w:lvlJc w:val="right"/>
      <w:pPr>
        <w:ind w:left="2573" w:hanging="180"/>
      </w:pPr>
    </w:lvl>
    <w:lvl w:ilvl="3" w:tplc="0809000F" w:tentative="1">
      <w:start w:val="1"/>
      <w:numFmt w:val="decimal"/>
      <w:lvlText w:val="%4."/>
      <w:lvlJc w:val="left"/>
      <w:pPr>
        <w:ind w:left="3293" w:hanging="360"/>
      </w:pPr>
    </w:lvl>
    <w:lvl w:ilvl="4" w:tplc="08090019" w:tentative="1">
      <w:start w:val="1"/>
      <w:numFmt w:val="lowerLetter"/>
      <w:lvlText w:val="%5."/>
      <w:lvlJc w:val="left"/>
      <w:pPr>
        <w:ind w:left="4013" w:hanging="360"/>
      </w:pPr>
    </w:lvl>
    <w:lvl w:ilvl="5" w:tplc="0809001B" w:tentative="1">
      <w:start w:val="1"/>
      <w:numFmt w:val="lowerRoman"/>
      <w:lvlText w:val="%6."/>
      <w:lvlJc w:val="right"/>
      <w:pPr>
        <w:ind w:left="4733" w:hanging="180"/>
      </w:pPr>
    </w:lvl>
    <w:lvl w:ilvl="6" w:tplc="0809000F" w:tentative="1">
      <w:start w:val="1"/>
      <w:numFmt w:val="decimal"/>
      <w:lvlText w:val="%7."/>
      <w:lvlJc w:val="left"/>
      <w:pPr>
        <w:ind w:left="5453" w:hanging="360"/>
      </w:pPr>
    </w:lvl>
    <w:lvl w:ilvl="7" w:tplc="08090019" w:tentative="1">
      <w:start w:val="1"/>
      <w:numFmt w:val="lowerLetter"/>
      <w:lvlText w:val="%8."/>
      <w:lvlJc w:val="left"/>
      <w:pPr>
        <w:ind w:left="6173" w:hanging="360"/>
      </w:pPr>
    </w:lvl>
    <w:lvl w:ilvl="8" w:tplc="0809001B" w:tentative="1">
      <w:start w:val="1"/>
      <w:numFmt w:val="lowerRoman"/>
      <w:lvlText w:val="%9."/>
      <w:lvlJc w:val="right"/>
      <w:pPr>
        <w:ind w:left="6893" w:hanging="180"/>
      </w:pPr>
    </w:lvl>
  </w:abstractNum>
  <w:abstractNum w:abstractNumId="16" w15:restartNumberingAfterBreak="0">
    <w:nsid w:val="699C50BB"/>
    <w:multiLevelType w:val="hybridMultilevel"/>
    <w:tmpl w:val="C5FE2E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6A951BFF"/>
    <w:multiLevelType w:val="multilevel"/>
    <w:tmpl w:val="76C621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D237C0"/>
    <w:multiLevelType w:val="hybridMultilevel"/>
    <w:tmpl w:val="37843B96"/>
    <w:lvl w:ilvl="0" w:tplc="733E8376">
      <w:start w:val="1"/>
      <w:numFmt w:val="lowerLetter"/>
      <w:lvlText w:val="%1)"/>
      <w:lvlJc w:val="left"/>
      <w:pPr>
        <w:tabs>
          <w:tab w:val="num" w:pos="720"/>
        </w:tabs>
        <w:ind w:left="720" w:hanging="360"/>
      </w:pPr>
      <w:rPr>
        <w:rFonts w:ascii="Arial" w:eastAsia="Times New Roman" w:hAnsi="Arial" w:cs="Times New Roman"/>
      </w:rPr>
    </w:lvl>
    <w:lvl w:ilvl="1" w:tplc="11007156" w:tentative="1">
      <w:start w:val="1"/>
      <w:numFmt w:val="bullet"/>
      <w:lvlText w:val="●"/>
      <w:lvlJc w:val="left"/>
      <w:pPr>
        <w:tabs>
          <w:tab w:val="num" w:pos="1440"/>
        </w:tabs>
        <w:ind w:left="1440" w:hanging="360"/>
      </w:pPr>
      <w:rPr>
        <w:rFonts w:ascii="Arial" w:hAnsi="Arial" w:hint="default"/>
      </w:rPr>
    </w:lvl>
    <w:lvl w:ilvl="2" w:tplc="7D3E24A8" w:tentative="1">
      <w:start w:val="1"/>
      <w:numFmt w:val="bullet"/>
      <w:lvlText w:val="●"/>
      <w:lvlJc w:val="left"/>
      <w:pPr>
        <w:tabs>
          <w:tab w:val="num" w:pos="2160"/>
        </w:tabs>
        <w:ind w:left="2160" w:hanging="360"/>
      </w:pPr>
      <w:rPr>
        <w:rFonts w:ascii="Arial" w:hAnsi="Arial" w:hint="default"/>
      </w:rPr>
    </w:lvl>
    <w:lvl w:ilvl="3" w:tplc="C6D67512" w:tentative="1">
      <w:start w:val="1"/>
      <w:numFmt w:val="bullet"/>
      <w:lvlText w:val="●"/>
      <w:lvlJc w:val="left"/>
      <w:pPr>
        <w:tabs>
          <w:tab w:val="num" w:pos="2880"/>
        </w:tabs>
        <w:ind w:left="2880" w:hanging="360"/>
      </w:pPr>
      <w:rPr>
        <w:rFonts w:ascii="Arial" w:hAnsi="Arial" w:hint="default"/>
      </w:rPr>
    </w:lvl>
    <w:lvl w:ilvl="4" w:tplc="D026D418" w:tentative="1">
      <w:start w:val="1"/>
      <w:numFmt w:val="bullet"/>
      <w:lvlText w:val="●"/>
      <w:lvlJc w:val="left"/>
      <w:pPr>
        <w:tabs>
          <w:tab w:val="num" w:pos="3600"/>
        </w:tabs>
        <w:ind w:left="3600" w:hanging="360"/>
      </w:pPr>
      <w:rPr>
        <w:rFonts w:ascii="Arial" w:hAnsi="Arial" w:hint="default"/>
      </w:rPr>
    </w:lvl>
    <w:lvl w:ilvl="5" w:tplc="330E15BA" w:tentative="1">
      <w:start w:val="1"/>
      <w:numFmt w:val="bullet"/>
      <w:lvlText w:val="●"/>
      <w:lvlJc w:val="left"/>
      <w:pPr>
        <w:tabs>
          <w:tab w:val="num" w:pos="4320"/>
        </w:tabs>
        <w:ind w:left="4320" w:hanging="360"/>
      </w:pPr>
      <w:rPr>
        <w:rFonts w:ascii="Arial" w:hAnsi="Arial" w:hint="default"/>
      </w:rPr>
    </w:lvl>
    <w:lvl w:ilvl="6" w:tplc="E67850E4" w:tentative="1">
      <w:start w:val="1"/>
      <w:numFmt w:val="bullet"/>
      <w:lvlText w:val="●"/>
      <w:lvlJc w:val="left"/>
      <w:pPr>
        <w:tabs>
          <w:tab w:val="num" w:pos="5040"/>
        </w:tabs>
        <w:ind w:left="5040" w:hanging="360"/>
      </w:pPr>
      <w:rPr>
        <w:rFonts w:ascii="Arial" w:hAnsi="Arial" w:hint="default"/>
      </w:rPr>
    </w:lvl>
    <w:lvl w:ilvl="7" w:tplc="A72E30D6" w:tentative="1">
      <w:start w:val="1"/>
      <w:numFmt w:val="bullet"/>
      <w:lvlText w:val="●"/>
      <w:lvlJc w:val="left"/>
      <w:pPr>
        <w:tabs>
          <w:tab w:val="num" w:pos="5760"/>
        </w:tabs>
        <w:ind w:left="5760" w:hanging="360"/>
      </w:pPr>
      <w:rPr>
        <w:rFonts w:ascii="Arial" w:hAnsi="Arial" w:hint="default"/>
      </w:rPr>
    </w:lvl>
    <w:lvl w:ilvl="8" w:tplc="D60C3E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5E5330"/>
    <w:multiLevelType w:val="multilevel"/>
    <w:tmpl w:val="26420ED2"/>
    <w:lvl w:ilvl="0">
      <w:start w:val="1"/>
      <w:numFmt w:val="decimal"/>
      <w:lvlText w:val="%1."/>
      <w:lvlJc w:val="left"/>
      <w:pPr>
        <w:ind w:left="720" w:hanging="360"/>
      </w:pPr>
    </w:lvl>
    <w:lvl w:ilvl="1">
      <w:numFmt w:val="decimal"/>
      <w:isLgl/>
      <w:lvlText w:val="%1.%2"/>
      <w:lvlJc w:val="left"/>
      <w:pPr>
        <w:ind w:left="1123" w:hanging="41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C8831C1"/>
    <w:multiLevelType w:val="hybridMultilevel"/>
    <w:tmpl w:val="ECE0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C039B"/>
    <w:multiLevelType w:val="hybridMultilevel"/>
    <w:tmpl w:val="E87465C2"/>
    <w:lvl w:ilvl="0" w:tplc="1C786C8C">
      <w:start w:val="1"/>
      <w:numFmt w:val="bullet"/>
      <w:lvlText w:val="●"/>
      <w:lvlJc w:val="left"/>
      <w:pPr>
        <w:tabs>
          <w:tab w:val="num" w:pos="720"/>
        </w:tabs>
        <w:ind w:left="720" w:hanging="360"/>
      </w:pPr>
      <w:rPr>
        <w:rFonts w:ascii="Arial" w:hAnsi="Arial" w:hint="default"/>
      </w:rPr>
    </w:lvl>
    <w:lvl w:ilvl="1" w:tplc="9210E236" w:tentative="1">
      <w:start w:val="1"/>
      <w:numFmt w:val="bullet"/>
      <w:lvlText w:val="●"/>
      <w:lvlJc w:val="left"/>
      <w:pPr>
        <w:tabs>
          <w:tab w:val="num" w:pos="1440"/>
        </w:tabs>
        <w:ind w:left="1440" w:hanging="360"/>
      </w:pPr>
      <w:rPr>
        <w:rFonts w:ascii="Arial" w:hAnsi="Arial" w:hint="default"/>
      </w:rPr>
    </w:lvl>
    <w:lvl w:ilvl="2" w:tplc="EE525418" w:tentative="1">
      <w:start w:val="1"/>
      <w:numFmt w:val="bullet"/>
      <w:lvlText w:val="●"/>
      <w:lvlJc w:val="left"/>
      <w:pPr>
        <w:tabs>
          <w:tab w:val="num" w:pos="2160"/>
        </w:tabs>
        <w:ind w:left="2160" w:hanging="360"/>
      </w:pPr>
      <w:rPr>
        <w:rFonts w:ascii="Arial" w:hAnsi="Arial" w:hint="default"/>
      </w:rPr>
    </w:lvl>
    <w:lvl w:ilvl="3" w:tplc="B822627C" w:tentative="1">
      <w:start w:val="1"/>
      <w:numFmt w:val="bullet"/>
      <w:lvlText w:val="●"/>
      <w:lvlJc w:val="left"/>
      <w:pPr>
        <w:tabs>
          <w:tab w:val="num" w:pos="2880"/>
        </w:tabs>
        <w:ind w:left="2880" w:hanging="360"/>
      </w:pPr>
      <w:rPr>
        <w:rFonts w:ascii="Arial" w:hAnsi="Arial" w:hint="default"/>
      </w:rPr>
    </w:lvl>
    <w:lvl w:ilvl="4" w:tplc="8FBC8D8A" w:tentative="1">
      <w:start w:val="1"/>
      <w:numFmt w:val="bullet"/>
      <w:lvlText w:val="●"/>
      <w:lvlJc w:val="left"/>
      <w:pPr>
        <w:tabs>
          <w:tab w:val="num" w:pos="3600"/>
        </w:tabs>
        <w:ind w:left="3600" w:hanging="360"/>
      </w:pPr>
      <w:rPr>
        <w:rFonts w:ascii="Arial" w:hAnsi="Arial" w:hint="default"/>
      </w:rPr>
    </w:lvl>
    <w:lvl w:ilvl="5" w:tplc="52E466A6" w:tentative="1">
      <w:start w:val="1"/>
      <w:numFmt w:val="bullet"/>
      <w:lvlText w:val="●"/>
      <w:lvlJc w:val="left"/>
      <w:pPr>
        <w:tabs>
          <w:tab w:val="num" w:pos="4320"/>
        </w:tabs>
        <w:ind w:left="4320" w:hanging="360"/>
      </w:pPr>
      <w:rPr>
        <w:rFonts w:ascii="Arial" w:hAnsi="Arial" w:hint="default"/>
      </w:rPr>
    </w:lvl>
    <w:lvl w:ilvl="6" w:tplc="5502BAFE" w:tentative="1">
      <w:start w:val="1"/>
      <w:numFmt w:val="bullet"/>
      <w:lvlText w:val="●"/>
      <w:lvlJc w:val="left"/>
      <w:pPr>
        <w:tabs>
          <w:tab w:val="num" w:pos="5040"/>
        </w:tabs>
        <w:ind w:left="5040" w:hanging="360"/>
      </w:pPr>
      <w:rPr>
        <w:rFonts w:ascii="Arial" w:hAnsi="Arial" w:hint="default"/>
      </w:rPr>
    </w:lvl>
    <w:lvl w:ilvl="7" w:tplc="4A4E14C8" w:tentative="1">
      <w:start w:val="1"/>
      <w:numFmt w:val="bullet"/>
      <w:lvlText w:val="●"/>
      <w:lvlJc w:val="left"/>
      <w:pPr>
        <w:tabs>
          <w:tab w:val="num" w:pos="5760"/>
        </w:tabs>
        <w:ind w:left="5760" w:hanging="360"/>
      </w:pPr>
      <w:rPr>
        <w:rFonts w:ascii="Arial" w:hAnsi="Arial" w:hint="default"/>
      </w:rPr>
    </w:lvl>
    <w:lvl w:ilvl="8" w:tplc="A8E4E33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22"/>
  </w:num>
  <w:num w:numId="5">
    <w:abstractNumId w:val="10"/>
  </w:num>
  <w:num w:numId="6">
    <w:abstractNumId w:val="2"/>
  </w:num>
  <w:num w:numId="7">
    <w:abstractNumId w:val="6"/>
  </w:num>
  <w:num w:numId="8">
    <w:abstractNumId w:val="17"/>
  </w:num>
  <w:num w:numId="9">
    <w:abstractNumId w:val="5"/>
  </w:num>
  <w:num w:numId="10">
    <w:abstractNumId w:val="1"/>
  </w:num>
  <w:num w:numId="11">
    <w:abstractNumId w:val="19"/>
  </w:num>
  <w:num w:numId="12">
    <w:abstractNumId w:val="15"/>
  </w:num>
  <w:num w:numId="13">
    <w:abstractNumId w:val="11"/>
  </w:num>
  <w:num w:numId="14">
    <w:abstractNumId w:val="16"/>
  </w:num>
  <w:num w:numId="15">
    <w:abstractNumId w:val="21"/>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0"/>
  </w:num>
  <w:num w:numId="21">
    <w:abstractNumId w:val="20"/>
  </w:num>
  <w:num w:numId="22">
    <w:abstractNumId w:val="9"/>
  </w:num>
  <w:num w:numId="23">
    <w:abstractNumId w:val="8"/>
  </w:num>
  <w:num w:numId="24">
    <w:abstractNumId w:val="7"/>
  </w:num>
  <w:num w:numId="25">
    <w:abstractNumId w:val="7"/>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3694"/>
    <w:rsid w:val="00004458"/>
    <w:rsid w:val="00012214"/>
    <w:rsid w:val="00014D7F"/>
    <w:rsid w:val="00015351"/>
    <w:rsid w:val="00026AB9"/>
    <w:rsid w:val="000338C9"/>
    <w:rsid w:val="0003504D"/>
    <w:rsid w:val="000373C5"/>
    <w:rsid w:val="0003782D"/>
    <w:rsid w:val="0004029A"/>
    <w:rsid w:val="00042908"/>
    <w:rsid w:val="0004621F"/>
    <w:rsid w:val="00046A47"/>
    <w:rsid w:val="000472B1"/>
    <w:rsid w:val="0005413A"/>
    <w:rsid w:val="000542FD"/>
    <w:rsid w:val="00056913"/>
    <w:rsid w:val="0006034E"/>
    <w:rsid w:val="00063783"/>
    <w:rsid w:val="00065B70"/>
    <w:rsid w:val="00067893"/>
    <w:rsid w:val="000713E4"/>
    <w:rsid w:val="00073765"/>
    <w:rsid w:val="00074130"/>
    <w:rsid w:val="00075C36"/>
    <w:rsid w:val="00077B8F"/>
    <w:rsid w:val="00082B73"/>
    <w:rsid w:val="0008501E"/>
    <w:rsid w:val="000929A6"/>
    <w:rsid w:val="000A3C1D"/>
    <w:rsid w:val="000A73AA"/>
    <w:rsid w:val="000B5015"/>
    <w:rsid w:val="000B639C"/>
    <w:rsid w:val="000B73B9"/>
    <w:rsid w:val="000B788F"/>
    <w:rsid w:val="000C573F"/>
    <w:rsid w:val="000D2337"/>
    <w:rsid w:val="000D4619"/>
    <w:rsid w:val="000D4DFE"/>
    <w:rsid w:val="000D4E36"/>
    <w:rsid w:val="000D5F22"/>
    <w:rsid w:val="000D6F0A"/>
    <w:rsid w:val="000E62FE"/>
    <w:rsid w:val="00103344"/>
    <w:rsid w:val="00104F40"/>
    <w:rsid w:val="001145DB"/>
    <w:rsid w:val="001160A9"/>
    <w:rsid w:val="001161E4"/>
    <w:rsid w:val="00125A26"/>
    <w:rsid w:val="001333C2"/>
    <w:rsid w:val="00135101"/>
    <w:rsid w:val="00141348"/>
    <w:rsid w:val="00142199"/>
    <w:rsid w:val="00147BBC"/>
    <w:rsid w:val="0015376F"/>
    <w:rsid w:val="00153B84"/>
    <w:rsid w:val="001548AF"/>
    <w:rsid w:val="001614E0"/>
    <w:rsid w:val="00162338"/>
    <w:rsid w:val="0016584C"/>
    <w:rsid w:val="00165D38"/>
    <w:rsid w:val="00167BB0"/>
    <w:rsid w:val="00171460"/>
    <w:rsid w:val="00171BD8"/>
    <w:rsid w:val="0017653E"/>
    <w:rsid w:val="00177B07"/>
    <w:rsid w:val="00181AA3"/>
    <w:rsid w:val="00182B01"/>
    <w:rsid w:val="001840D2"/>
    <w:rsid w:val="00190E2C"/>
    <w:rsid w:val="00191DBF"/>
    <w:rsid w:val="001945D9"/>
    <w:rsid w:val="001966D7"/>
    <w:rsid w:val="00197D1E"/>
    <w:rsid w:val="00197E9A"/>
    <w:rsid w:val="001A053F"/>
    <w:rsid w:val="001B05E2"/>
    <w:rsid w:val="001B359A"/>
    <w:rsid w:val="001B3CB9"/>
    <w:rsid w:val="001C015C"/>
    <w:rsid w:val="001C4D2E"/>
    <w:rsid w:val="001C7E35"/>
    <w:rsid w:val="001D171A"/>
    <w:rsid w:val="001D3AFD"/>
    <w:rsid w:val="001D3EF8"/>
    <w:rsid w:val="001D49B8"/>
    <w:rsid w:val="001D534C"/>
    <w:rsid w:val="001E006D"/>
    <w:rsid w:val="001E0890"/>
    <w:rsid w:val="001E3222"/>
    <w:rsid w:val="001E3C06"/>
    <w:rsid w:val="001E553A"/>
    <w:rsid w:val="001E633A"/>
    <w:rsid w:val="001F0037"/>
    <w:rsid w:val="001F0BE9"/>
    <w:rsid w:val="001F7111"/>
    <w:rsid w:val="00202D79"/>
    <w:rsid w:val="00204295"/>
    <w:rsid w:val="00205D2F"/>
    <w:rsid w:val="00205D7F"/>
    <w:rsid w:val="00207B9C"/>
    <w:rsid w:val="002112BD"/>
    <w:rsid w:val="0021388E"/>
    <w:rsid w:val="00214A30"/>
    <w:rsid w:val="00214BBE"/>
    <w:rsid w:val="00215E8F"/>
    <w:rsid w:val="002250F0"/>
    <w:rsid w:val="00226FBE"/>
    <w:rsid w:val="00230B4A"/>
    <w:rsid w:val="00231E19"/>
    <w:rsid w:val="002321BF"/>
    <w:rsid w:val="002322BB"/>
    <w:rsid w:val="002333E3"/>
    <w:rsid w:val="00243DC9"/>
    <w:rsid w:val="00244ED4"/>
    <w:rsid w:val="00250311"/>
    <w:rsid w:val="00251254"/>
    <w:rsid w:val="00252389"/>
    <w:rsid w:val="002548D1"/>
    <w:rsid w:val="00260707"/>
    <w:rsid w:val="00264CDB"/>
    <w:rsid w:val="0026648D"/>
    <w:rsid w:val="002723F8"/>
    <w:rsid w:val="0027283B"/>
    <w:rsid w:val="00272DE4"/>
    <w:rsid w:val="00274B73"/>
    <w:rsid w:val="0028019B"/>
    <w:rsid w:val="00281453"/>
    <w:rsid w:val="00283CAB"/>
    <w:rsid w:val="002939AC"/>
    <w:rsid w:val="002A1AB7"/>
    <w:rsid w:val="002A3FEF"/>
    <w:rsid w:val="002A40DD"/>
    <w:rsid w:val="002A679B"/>
    <w:rsid w:val="002B54A6"/>
    <w:rsid w:val="002C2B20"/>
    <w:rsid w:val="002C4A1C"/>
    <w:rsid w:val="002C7137"/>
    <w:rsid w:val="002D42E1"/>
    <w:rsid w:val="002E1979"/>
    <w:rsid w:val="002E3492"/>
    <w:rsid w:val="002F3EE9"/>
    <w:rsid w:val="003021DD"/>
    <w:rsid w:val="00307F76"/>
    <w:rsid w:val="00310173"/>
    <w:rsid w:val="00321FBB"/>
    <w:rsid w:val="00331068"/>
    <w:rsid w:val="0033143B"/>
    <w:rsid w:val="0033244B"/>
    <w:rsid w:val="00333FAA"/>
    <w:rsid w:val="003355D7"/>
    <w:rsid w:val="00340601"/>
    <w:rsid w:val="00344C68"/>
    <w:rsid w:val="003457AE"/>
    <w:rsid w:val="00345D31"/>
    <w:rsid w:val="00346FE1"/>
    <w:rsid w:val="003474E0"/>
    <w:rsid w:val="0035272E"/>
    <w:rsid w:val="00353130"/>
    <w:rsid w:val="003579A2"/>
    <w:rsid w:val="0036056C"/>
    <w:rsid w:val="003613B5"/>
    <w:rsid w:val="00361D94"/>
    <w:rsid w:val="00361F66"/>
    <w:rsid w:val="0036201C"/>
    <w:rsid w:val="0036226B"/>
    <w:rsid w:val="00366908"/>
    <w:rsid w:val="00370F86"/>
    <w:rsid w:val="00372928"/>
    <w:rsid w:val="003746A7"/>
    <w:rsid w:val="0037633A"/>
    <w:rsid w:val="00376768"/>
    <w:rsid w:val="00381F10"/>
    <w:rsid w:val="003A0D7B"/>
    <w:rsid w:val="003A2EFD"/>
    <w:rsid w:val="003A43B3"/>
    <w:rsid w:val="003A7B11"/>
    <w:rsid w:val="003B55E1"/>
    <w:rsid w:val="003C00EE"/>
    <w:rsid w:val="003C4731"/>
    <w:rsid w:val="003C6BB5"/>
    <w:rsid w:val="003D298B"/>
    <w:rsid w:val="003D3D38"/>
    <w:rsid w:val="003D4550"/>
    <w:rsid w:val="003D5330"/>
    <w:rsid w:val="003D6C57"/>
    <w:rsid w:val="003D7ED8"/>
    <w:rsid w:val="003E220E"/>
    <w:rsid w:val="003E4A7A"/>
    <w:rsid w:val="003F3AFD"/>
    <w:rsid w:val="003F3D08"/>
    <w:rsid w:val="003F4BED"/>
    <w:rsid w:val="003F593F"/>
    <w:rsid w:val="00402FFA"/>
    <w:rsid w:val="0040347D"/>
    <w:rsid w:val="00405A28"/>
    <w:rsid w:val="004076C8"/>
    <w:rsid w:val="004157A0"/>
    <w:rsid w:val="004207E3"/>
    <w:rsid w:val="00421877"/>
    <w:rsid w:val="00421A4C"/>
    <w:rsid w:val="004238C2"/>
    <w:rsid w:val="004255E3"/>
    <w:rsid w:val="00425A62"/>
    <w:rsid w:val="00426DCE"/>
    <w:rsid w:val="00434128"/>
    <w:rsid w:val="00435B5D"/>
    <w:rsid w:val="004363F7"/>
    <w:rsid w:val="00437377"/>
    <w:rsid w:val="0044525C"/>
    <w:rsid w:val="00454F25"/>
    <w:rsid w:val="004553F1"/>
    <w:rsid w:val="00460652"/>
    <w:rsid w:val="00461B60"/>
    <w:rsid w:val="0046545F"/>
    <w:rsid w:val="0047023D"/>
    <w:rsid w:val="00471C1F"/>
    <w:rsid w:val="004809FA"/>
    <w:rsid w:val="00485FE8"/>
    <w:rsid w:val="00490716"/>
    <w:rsid w:val="0049342A"/>
    <w:rsid w:val="004937EC"/>
    <w:rsid w:val="004A05B2"/>
    <w:rsid w:val="004A3710"/>
    <w:rsid w:val="004A58EF"/>
    <w:rsid w:val="004A7058"/>
    <w:rsid w:val="004B02FB"/>
    <w:rsid w:val="004B3DC9"/>
    <w:rsid w:val="004C375D"/>
    <w:rsid w:val="004C4A75"/>
    <w:rsid w:val="004C633D"/>
    <w:rsid w:val="004C78D6"/>
    <w:rsid w:val="004C7960"/>
    <w:rsid w:val="004D2DA0"/>
    <w:rsid w:val="004E097D"/>
    <w:rsid w:val="004E14A4"/>
    <w:rsid w:val="004E43CE"/>
    <w:rsid w:val="004E5483"/>
    <w:rsid w:val="004E5A72"/>
    <w:rsid w:val="004E67D2"/>
    <w:rsid w:val="004F54BD"/>
    <w:rsid w:val="004F56C5"/>
    <w:rsid w:val="004F5CC6"/>
    <w:rsid w:val="004F6FD2"/>
    <w:rsid w:val="00500FD9"/>
    <w:rsid w:val="00510EB3"/>
    <w:rsid w:val="005116FA"/>
    <w:rsid w:val="0051495B"/>
    <w:rsid w:val="0051659B"/>
    <w:rsid w:val="0051686D"/>
    <w:rsid w:val="00520416"/>
    <w:rsid w:val="0052061A"/>
    <w:rsid w:val="005207E4"/>
    <w:rsid w:val="00527C7C"/>
    <w:rsid w:val="00534341"/>
    <w:rsid w:val="005354D0"/>
    <w:rsid w:val="005377C6"/>
    <w:rsid w:val="0054172C"/>
    <w:rsid w:val="0054590F"/>
    <w:rsid w:val="005459EC"/>
    <w:rsid w:val="005469F4"/>
    <w:rsid w:val="005476C5"/>
    <w:rsid w:val="005558F9"/>
    <w:rsid w:val="00567401"/>
    <w:rsid w:val="00567A40"/>
    <w:rsid w:val="005718B5"/>
    <w:rsid w:val="005720BB"/>
    <w:rsid w:val="0057550B"/>
    <w:rsid w:val="00576740"/>
    <w:rsid w:val="005808FB"/>
    <w:rsid w:val="00580C26"/>
    <w:rsid w:val="00582605"/>
    <w:rsid w:val="00582637"/>
    <w:rsid w:val="00582D62"/>
    <w:rsid w:val="0058583F"/>
    <w:rsid w:val="00591016"/>
    <w:rsid w:val="005933E4"/>
    <w:rsid w:val="00596618"/>
    <w:rsid w:val="005A30F3"/>
    <w:rsid w:val="005B3F67"/>
    <w:rsid w:val="005B6799"/>
    <w:rsid w:val="005B70E5"/>
    <w:rsid w:val="005D441F"/>
    <w:rsid w:val="005D548F"/>
    <w:rsid w:val="005D6EF5"/>
    <w:rsid w:val="005E158F"/>
    <w:rsid w:val="005E1810"/>
    <w:rsid w:val="005E2C06"/>
    <w:rsid w:val="005E3A10"/>
    <w:rsid w:val="005E7509"/>
    <w:rsid w:val="005F1C7D"/>
    <w:rsid w:val="005F5C9E"/>
    <w:rsid w:val="005F5D03"/>
    <w:rsid w:val="00600CF1"/>
    <w:rsid w:val="00606CE8"/>
    <w:rsid w:val="00610A6A"/>
    <w:rsid w:val="006120D4"/>
    <w:rsid w:val="00615ED4"/>
    <w:rsid w:val="006232B3"/>
    <w:rsid w:val="006232E1"/>
    <w:rsid w:val="00624CA1"/>
    <w:rsid w:val="0062569D"/>
    <w:rsid w:val="00633ED2"/>
    <w:rsid w:val="006457F5"/>
    <w:rsid w:val="00645B8B"/>
    <w:rsid w:val="0065193A"/>
    <w:rsid w:val="00654664"/>
    <w:rsid w:val="00655044"/>
    <w:rsid w:val="00655ACE"/>
    <w:rsid w:val="00656BDE"/>
    <w:rsid w:val="006646C5"/>
    <w:rsid w:val="00666922"/>
    <w:rsid w:val="00667F9B"/>
    <w:rsid w:val="00670F17"/>
    <w:rsid w:val="006710C7"/>
    <w:rsid w:val="006729BD"/>
    <w:rsid w:val="00682830"/>
    <w:rsid w:val="00685D59"/>
    <w:rsid w:val="00687B94"/>
    <w:rsid w:val="00690427"/>
    <w:rsid w:val="00693E54"/>
    <w:rsid w:val="00696A83"/>
    <w:rsid w:val="006A0617"/>
    <w:rsid w:val="006A0CBE"/>
    <w:rsid w:val="006B03D3"/>
    <w:rsid w:val="006B565B"/>
    <w:rsid w:val="006B5DE4"/>
    <w:rsid w:val="006C580A"/>
    <w:rsid w:val="006C5DDE"/>
    <w:rsid w:val="006C5EE6"/>
    <w:rsid w:val="006D07A3"/>
    <w:rsid w:val="006D1E69"/>
    <w:rsid w:val="006D3F9A"/>
    <w:rsid w:val="006D79F9"/>
    <w:rsid w:val="006E0F09"/>
    <w:rsid w:val="006E1F2C"/>
    <w:rsid w:val="006E4A51"/>
    <w:rsid w:val="006E77EC"/>
    <w:rsid w:val="006E797A"/>
    <w:rsid w:val="006F012C"/>
    <w:rsid w:val="006F057C"/>
    <w:rsid w:val="006F0862"/>
    <w:rsid w:val="006F22DA"/>
    <w:rsid w:val="006F2EB3"/>
    <w:rsid w:val="006F3D8A"/>
    <w:rsid w:val="006F7548"/>
    <w:rsid w:val="00701FD4"/>
    <w:rsid w:val="00702CB7"/>
    <w:rsid w:val="007040C0"/>
    <w:rsid w:val="00706105"/>
    <w:rsid w:val="0070635A"/>
    <w:rsid w:val="00707C91"/>
    <w:rsid w:val="007100B0"/>
    <w:rsid w:val="007101D3"/>
    <w:rsid w:val="00710A56"/>
    <w:rsid w:val="007110CA"/>
    <w:rsid w:val="007116B1"/>
    <w:rsid w:val="00713030"/>
    <w:rsid w:val="00714BEE"/>
    <w:rsid w:val="00715AD9"/>
    <w:rsid w:val="00721215"/>
    <w:rsid w:val="00734E25"/>
    <w:rsid w:val="007361B2"/>
    <w:rsid w:val="00737C59"/>
    <w:rsid w:val="007400CF"/>
    <w:rsid w:val="00740A4E"/>
    <w:rsid w:val="007425E8"/>
    <w:rsid w:val="00744375"/>
    <w:rsid w:val="00744ADB"/>
    <w:rsid w:val="00747BB4"/>
    <w:rsid w:val="00752B35"/>
    <w:rsid w:val="00753AD1"/>
    <w:rsid w:val="00753C69"/>
    <w:rsid w:val="007607F5"/>
    <w:rsid w:val="00762F88"/>
    <w:rsid w:val="00764BDC"/>
    <w:rsid w:val="0076678E"/>
    <w:rsid w:val="007673C1"/>
    <w:rsid w:val="0079046D"/>
    <w:rsid w:val="007923DB"/>
    <w:rsid w:val="00795466"/>
    <w:rsid w:val="00797D08"/>
    <w:rsid w:val="007A0644"/>
    <w:rsid w:val="007A07C5"/>
    <w:rsid w:val="007A251E"/>
    <w:rsid w:val="007A28C7"/>
    <w:rsid w:val="007A3659"/>
    <w:rsid w:val="007A3B6D"/>
    <w:rsid w:val="007A5B71"/>
    <w:rsid w:val="007A66CF"/>
    <w:rsid w:val="007B0007"/>
    <w:rsid w:val="007B23FC"/>
    <w:rsid w:val="007B40CF"/>
    <w:rsid w:val="007B48AB"/>
    <w:rsid w:val="007C08E7"/>
    <w:rsid w:val="007C0A21"/>
    <w:rsid w:val="007C18DA"/>
    <w:rsid w:val="007C5C63"/>
    <w:rsid w:val="007C68C1"/>
    <w:rsid w:val="007C6E61"/>
    <w:rsid w:val="007D07EC"/>
    <w:rsid w:val="007D0C1D"/>
    <w:rsid w:val="007D2000"/>
    <w:rsid w:val="007D38A4"/>
    <w:rsid w:val="007D4DBF"/>
    <w:rsid w:val="007D4FE4"/>
    <w:rsid w:val="007E257B"/>
    <w:rsid w:val="007E3699"/>
    <w:rsid w:val="007E4732"/>
    <w:rsid w:val="007E4BA4"/>
    <w:rsid w:val="007E52AE"/>
    <w:rsid w:val="007E64E1"/>
    <w:rsid w:val="007E653B"/>
    <w:rsid w:val="007E69AA"/>
    <w:rsid w:val="007F004E"/>
    <w:rsid w:val="007F1D45"/>
    <w:rsid w:val="007F2461"/>
    <w:rsid w:val="007F335A"/>
    <w:rsid w:val="007F46E5"/>
    <w:rsid w:val="007F63B1"/>
    <w:rsid w:val="00800A7B"/>
    <w:rsid w:val="00803104"/>
    <w:rsid w:val="00803A60"/>
    <w:rsid w:val="008056C8"/>
    <w:rsid w:val="0081125E"/>
    <w:rsid w:val="00812901"/>
    <w:rsid w:val="00815ADF"/>
    <w:rsid w:val="00817F85"/>
    <w:rsid w:val="00820995"/>
    <w:rsid w:val="00822782"/>
    <w:rsid w:val="008267BB"/>
    <w:rsid w:val="00826B9A"/>
    <w:rsid w:val="008306B6"/>
    <w:rsid w:val="00831389"/>
    <w:rsid w:val="00836C8D"/>
    <w:rsid w:val="0084084C"/>
    <w:rsid w:val="00841700"/>
    <w:rsid w:val="00843F09"/>
    <w:rsid w:val="0084404D"/>
    <w:rsid w:val="008465EB"/>
    <w:rsid w:val="00846866"/>
    <w:rsid w:val="0085266D"/>
    <w:rsid w:val="008557C1"/>
    <w:rsid w:val="00860537"/>
    <w:rsid w:val="00862F56"/>
    <w:rsid w:val="00864250"/>
    <w:rsid w:val="00871FCC"/>
    <w:rsid w:val="008735A8"/>
    <w:rsid w:val="00876F46"/>
    <w:rsid w:val="00880F99"/>
    <w:rsid w:val="00887E14"/>
    <w:rsid w:val="008927C5"/>
    <w:rsid w:val="00892804"/>
    <w:rsid w:val="008959AB"/>
    <w:rsid w:val="00897804"/>
    <w:rsid w:val="008A0B7E"/>
    <w:rsid w:val="008A5AA0"/>
    <w:rsid w:val="008A5BDB"/>
    <w:rsid w:val="008A5E8B"/>
    <w:rsid w:val="008B1460"/>
    <w:rsid w:val="008B15B9"/>
    <w:rsid w:val="008B1AD9"/>
    <w:rsid w:val="008C038D"/>
    <w:rsid w:val="008C24D9"/>
    <w:rsid w:val="008C3396"/>
    <w:rsid w:val="008C3D5C"/>
    <w:rsid w:val="008C57B3"/>
    <w:rsid w:val="008C5EDD"/>
    <w:rsid w:val="008C7B58"/>
    <w:rsid w:val="008D02AB"/>
    <w:rsid w:val="008D20DD"/>
    <w:rsid w:val="008D28B9"/>
    <w:rsid w:val="008D42D7"/>
    <w:rsid w:val="008D598D"/>
    <w:rsid w:val="008D6D36"/>
    <w:rsid w:val="008D7990"/>
    <w:rsid w:val="008E1CAC"/>
    <w:rsid w:val="008E212E"/>
    <w:rsid w:val="008E224D"/>
    <w:rsid w:val="008E6FCD"/>
    <w:rsid w:val="008E74B4"/>
    <w:rsid w:val="008F2509"/>
    <w:rsid w:val="008F2A72"/>
    <w:rsid w:val="008F33C2"/>
    <w:rsid w:val="009010A1"/>
    <w:rsid w:val="0090617B"/>
    <w:rsid w:val="00913178"/>
    <w:rsid w:val="00920DEB"/>
    <w:rsid w:val="0092530B"/>
    <w:rsid w:val="009264B9"/>
    <w:rsid w:val="009316C0"/>
    <w:rsid w:val="00933B9B"/>
    <w:rsid w:val="0094208C"/>
    <w:rsid w:val="00942BDE"/>
    <w:rsid w:val="00942F17"/>
    <w:rsid w:val="00943FB3"/>
    <w:rsid w:val="0094437F"/>
    <w:rsid w:val="00946973"/>
    <w:rsid w:val="00947D7D"/>
    <w:rsid w:val="00950433"/>
    <w:rsid w:val="00952CEF"/>
    <w:rsid w:val="00954F4F"/>
    <w:rsid w:val="00955421"/>
    <w:rsid w:val="00955D1A"/>
    <w:rsid w:val="00957489"/>
    <w:rsid w:val="00960240"/>
    <w:rsid w:val="009604FE"/>
    <w:rsid w:val="00962074"/>
    <w:rsid w:val="00963C10"/>
    <w:rsid w:val="00964D3B"/>
    <w:rsid w:val="00972986"/>
    <w:rsid w:val="009848CA"/>
    <w:rsid w:val="00986369"/>
    <w:rsid w:val="00986A36"/>
    <w:rsid w:val="00990E9C"/>
    <w:rsid w:val="00991864"/>
    <w:rsid w:val="00993044"/>
    <w:rsid w:val="00994542"/>
    <w:rsid w:val="00994908"/>
    <w:rsid w:val="009A63F0"/>
    <w:rsid w:val="009A7FC3"/>
    <w:rsid w:val="009B160B"/>
    <w:rsid w:val="009B2206"/>
    <w:rsid w:val="009C2257"/>
    <w:rsid w:val="009C237B"/>
    <w:rsid w:val="009C4DEA"/>
    <w:rsid w:val="009E0043"/>
    <w:rsid w:val="009E006E"/>
    <w:rsid w:val="009E10C9"/>
    <w:rsid w:val="009E2B7D"/>
    <w:rsid w:val="009E3A0E"/>
    <w:rsid w:val="009E5A93"/>
    <w:rsid w:val="00A00A22"/>
    <w:rsid w:val="00A0287A"/>
    <w:rsid w:val="00A04656"/>
    <w:rsid w:val="00A0696F"/>
    <w:rsid w:val="00A07A23"/>
    <w:rsid w:val="00A07D5A"/>
    <w:rsid w:val="00A148D6"/>
    <w:rsid w:val="00A157A0"/>
    <w:rsid w:val="00A20113"/>
    <w:rsid w:val="00A209D4"/>
    <w:rsid w:val="00A20D78"/>
    <w:rsid w:val="00A2215F"/>
    <w:rsid w:val="00A22839"/>
    <w:rsid w:val="00A23538"/>
    <w:rsid w:val="00A23E19"/>
    <w:rsid w:val="00A25086"/>
    <w:rsid w:val="00A25390"/>
    <w:rsid w:val="00A32822"/>
    <w:rsid w:val="00A33185"/>
    <w:rsid w:val="00A42E80"/>
    <w:rsid w:val="00A47158"/>
    <w:rsid w:val="00A51424"/>
    <w:rsid w:val="00A53B04"/>
    <w:rsid w:val="00A55506"/>
    <w:rsid w:val="00A627BF"/>
    <w:rsid w:val="00A661F4"/>
    <w:rsid w:val="00A66684"/>
    <w:rsid w:val="00A723AD"/>
    <w:rsid w:val="00A7271A"/>
    <w:rsid w:val="00A77560"/>
    <w:rsid w:val="00A80845"/>
    <w:rsid w:val="00A80E69"/>
    <w:rsid w:val="00A81E19"/>
    <w:rsid w:val="00A87987"/>
    <w:rsid w:val="00A97648"/>
    <w:rsid w:val="00AA3E58"/>
    <w:rsid w:val="00AA4009"/>
    <w:rsid w:val="00AB795F"/>
    <w:rsid w:val="00AB7E17"/>
    <w:rsid w:val="00AC06D0"/>
    <w:rsid w:val="00AC112A"/>
    <w:rsid w:val="00AC11C0"/>
    <w:rsid w:val="00AC6312"/>
    <w:rsid w:val="00AC68E2"/>
    <w:rsid w:val="00AC7BEA"/>
    <w:rsid w:val="00AD0122"/>
    <w:rsid w:val="00AD1172"/>
    <w:rsid w:val="00AD18FC"/>
    <w:rsid w:val="00AD6D80"/>
    <w:rsid w:val="00AE5272"/>
    <w:rsid w:val="00AF1ADF"/>
    <w:rsid w:val="00B05B74"/>
    <w:rsid w:val="00B06C1E"/>
    <w:rsid w:val="00B1160D"/>
    <w:rsid w:val="00B1225D"/>
    <w:rsid w:val="00B13F3C"/>
    <w:rsid w:val="00B15DDA"/>
    <w:rsid w:val="00B17B36"/>
    <w:rsid w:val="00B2130A"/>
    <w:rsid w:val="00B21B1B"/>
    <w:rsid w:val="00B23A00"/>
    <w:rsid w:val="00B23C56"/>
    <w:rsid w:val="00B278C9"/>
    <w:rsid w:val="00B30386"/>
    <w:rsid w:val="00B30427"/>
    <w:rsid w:val="00B30E30"/>
    <w:rsid w:val="00B32EF1"/>
    <w:rsid w:val="00B43CBD"/>
    <w:rsid w:val="00B444E6"/>
    <w:rsid w:val="00B4625A"/>
    <w:rsid w:val="00B5078D"/>
    <w:rsid w:val="00B52011"/>
    <w:rsid w:val="00B53EFF"/>
    <w:rsid w:val="00B54AFA"/>
    <w:rsid w:val="00B671A4"/>
    <w:rsid w:val="00B67C64"/>
    <w:rsid w:val="00B70B8F"/>
    <w:rsid w:val="00B736DE"/>
    <w:rsid w:val="00B76285"/>
    <w:rsid w:val="00B77EF0"/>
    <w:rsid w:val="00B804E8"/>
    <w:rsid w:val="00B8345D"/>
    <w:rsid w:val="00B8550E"/>
    <w:rsid w:val="00B87F61"/>
    <w:rsid w:val="00B9546D"/>
    <w:rsid w:val="00B95726"/>
    <w:rsid w:val="00B96014"/>
    <w:rsid w:val="00B96FBE"/>
    <w:rsid w:val="00B97205"/>
    <w:rsid w:val="00BB0558"/>
    <w:rsid w:val="00BB0C9F"/>
    <w:rsid w:val="00BB32B1"/>
    <w:rsid w:val="00BB75BE"/>
    <w:rsid w:val="00BC0953"/>
    <w:rsid w:val="00BC206C"/>
    <w:rsid w:val="00BC431A"/>
    <w:rsid w:val="00BD06D0"/>
    <w:rsid w:val="00BE2DA1"/>
    <w:rsid w:val="00BE3367"/>
    <w:rsid w:val="00BF46B1"/>
    <w:rsid w:val="00C01A35"/>
    <w:rsid w:val="00C03772"/>
    <w:rsid w:val="00C04EDA"/>
    <w:rsid w:val="00C05491"/>
    <w:rsid w:val="00C119A2"/>
    <w:rsid w:val="00C24F17"/>
    <w:rsid w:val="00C27AC6"/>
    <w:rsid w:val="00C3030F"/>
    <w:rsid w:val="00C3399C"/>
    <w:rsid w:val="00C343C0"/>
    <w:rsid w:val="00C374BF"/>
    <w:rsid w:val="00C471BC"/>
    <w:rsid w:val="00C541F3"/>
    <w:rsid w:val="00C57267"/>
    <w:rsid w:val="00C5742C"/>
    <w:rsid w:val="00C62B63"/>
    <w:rsid w:val="00C72B5B"/>
    <w:rsid w:val="00C73B0C"/>
    <w:rsid w:val="00C747E2"/>
    <w:rsid w:val="00C76DDC"/>
    <w:rsid w:val="00C9502C"/>
    <w:rsid w:val="00C974D5"/>
    <w:rsid w:val="00CA562F"/>
    <w:rsid w:val="00CA7601"/>
    <w:rsid w:val="00CC0BA0"/>
    <w:rsid w:val="00CC22CA"/>
    <w:rsid w:val="00CC3933"/>
    <w:rsid w:val="00CC6E83"/>
    <w:rsid w:val="00CC70D5"/>
    <w:rsid w:val="00CD06B8"/>
    <w:rsid w:val="00CD358F"/>
    <w:rsid w:val="00CD6E00"/>
    <w:rsid w:val="00CD7D5D"/>
    <w:rsid w:val="00CE1D49"/>
    <w:rsid w:val="00CE459C"/>
    <w:rsid w:val="00CE5084"/>
    <w:rsid w:val="00CE592D"/>
    <w:rsid w:val="00CF0FC4"/>
    <w:rsid w:val="00CF3C5B"/>
    <w:rsid w:val="00CF6932"/>
    <w:rsid w:val="00D0054E"/>
    <w:rsid w:val="00D011E9"/>
    <w:rsid w:val="00D01FE3"/>
    <w:rsid w:val="00D06CA3"/>
    <w:rsid w:val="00D07012"/>
    <w:rsid w:val="00D07F46"/>
    <w:rsid w:val="00D13FC0"/>
    <w:rsid w:val="00D170E5"/>
    <w:rsid w:val="00D23508"/>
    <w:rsid w:val="00D265B5"/>
    <w:rsid w:val="00D2760B"/>
    <w:rsid w:val="00D32D4C"/>
    <w:rsid w:val="00D37F2F"/>
    <w:rsid w:val="00D40D0C"/>
    <w:rsid w:val="00D414B4"/>
    <w:rsid w:val="00D415B9"/>
    <w:rsid w:val="00D42E7F"/>
    <w:rsid w:val="00D528E8"/>
    <w:rsid w:val="00D55627"/>
    <w:rsid w:val="00D556E1"/>
    <w:rsid w:val="00D573D5"/>
    <w:rsid w:val="00D65F69"/>
    <w:rsid w:val="00D71538"/>
    <w:rsid w:val="00D736B6"/>
    <w:rsid w:val="00D73A82"/>
    <w:rsid w:val="00D754E8"/>
    <w:rsid w:val="00D771D0"/>
    <w:rsid w:val="00D82229"/>
    <w:rsid w:val="00D835CF"/>
    <w:rsid w:val="00D85097"/>
    <w:rsid w:val="00D91575"/>
    <w:rsid w:val="00DA26FB"/>
    <w:rsid w:val="00DA57FE"/>
    <w:rsid w:val="00DB0956"/>
    <w:rsid w:val="00DB5AA8"/>
    <w:rsid w:val="00DB5BA6"/>
    <w:rsid w:val="00DB6C3D"/>
    <w:rsid w:val="00DC0BFA"/>
    <w:rsid w:val="00DC15EE"/>
    <w:rsid w:val="00DC1B5B"/>
    <w:rsid w:val="00DC2316"/>
    <w:rsid w:val="00DC3266"/>
    <w:rsid w:val="00DC3737"/>
    <w:rsid w:val="00DC3B62"/>
    <w:rsid w:val="00DC4307"/>
    <w:rsid w:val="00DC5ACF"/>
    <w:rsid w:val="00DD7468"/>
    <w:rsid w:val="00DE25E9"/>
    <w:rsid w:val="00DE578D"/>
    <w:rsid w:val="00DE71D3"/>
    <w:rsid w:val="00DE72CF"/>
    <w:rsid w:val="00DF01E2"/>
    <w:rsid w:val="00DF08A0"/>
    <w:rsid w:val="00DF13CA"/>
    <w:rsid w:val="00DF393B"/>
    <w:rsid w:val="00DF6086"/>
    <w:rsid w:val="00E01DCB"/>
    <w:rsid w:val="00E073F1"/>
    <w:rsid w:val="00E119EF"/>
    <w:rsid w:val="00E12339"/>
    <w:rsid w:val="00E1296A"/>
    <w:rsid w:val="00E143EE"/>
    <w:rsid w:val="00E163DA"/>
    <w:rsid w:val="00E16FFE"/>
    <w:rsid w:val="00E206D7"/>
    <w:rsid w:val="00E22CB0"/>
    <w:rsid w:val="00E2349B"/>
    <w:rsid w:val="00E23FC2"/>
    <w:rsid w:val="00E27F7B"/>
    <w:rsid w:val="00E31298"/>
    <w:rsid w:val="00E31DA2"/>
    <w:rsid w:val="00E3283B"/>
    <w:rsid w:val="00E403AF"/>
    <w:rsid w:val="00E40BEE"/>
    <w:rsid w:val="00E45C96"/>
    <w:rsid w:val="00E50C9D"/>
    <w:rsid w:val="00E51DD5"/>
    <w:rsid w:val="00E56C0C"/>
    <w:rsid w:val="00E56D1A"/>
    <w:rsid w:val="00E617BE"/>
    <w:rsid w:val="00E628FB"/>
    <w:rsid w:val="00E64013"/>
    <w:rsid w:val="00E66450"/>
    <w:rsid w:val="00E70760"/>
    <w:rsid w:val="00E714E3"/>
    <w:rsid w:val="00E72FD9"/>
    <w:rsid w:val="00E82B5B"/>
    <w:rsid w:val="00E863AA"/>
    <w:rsid w:val="00E9253C"/>
    <w:rsid w:val="00E92B30"/>
    <w:rsid w:val="00E92B34"/>
    <w:rsid w:val="00E97DF3"/>
    <w:rsid w:val="00EA0C13"/>
    <w:rsid w:val="00EA1382"/>
    <w:rsid w:val="00EA499B"/>
    <w:rsid w:val="00EA49A7"/>
    <w:rsid w:val="00EA614B"/>
    <w:rsid w:val="00EA6935"/>
    <w:rsid w:val="00EA7AAA"/>
    <w:rsid w:val="00EB45B5"/>
    <w:rsid w:val="00EB5E57"/>
    <w:rsid w:val="00EB61DB"/>
    <w:rsid w:val="00ED15FF"/>
    <w:rsid w:val="00ED30FB"/>
    <w:rsid w:val="00ED4AFD"/>
    <w:rsid w:val="00ED731C"/>
    <w:rsid w:val="00EE0BFB"/>
    <w:rsid w:val="00EE4FBE"/>
    <w:rsid w:val="00EE6CEF"/>
    <w:rsid w:val="00EE7087"/>
    <w:rsid w:val="00EE7208"/>
    <w:rsid w:val="00EF12B4"/>
    <w:rsid w:val="00EF135F"/>
    <w:rsid w:val="00EF19A5"/>
    <w:rsid w:val="00EF625B"/>
    <w:rsid w:val="00EF67C9"/>
    <w:rsid w:val="00EF6E9E"/>
    <w:rsid w:val="00F01670"/>
    <w:rsid w:val="00F052AC"/>
    <w:rsid w:val="00F05485"/>
    <w:rsid w:val="00F05F15"/>
    <w:rsid w:val="00F05FDE"/>
    <w:rsid w:val="00F0717F"/>
    <w:rsid w:val="00F112CE"/>
    <w:rsid w:val="00F11A68"/>
    <w:rsid w:val="00F13DE0"/>
    <w:rsid w:val="00F20942"/>
    <w:rsid w:val="00F21683"/>
    <w:rsid w:val="00F22398"/>
    <w:rsid w:val="00F23125"/>
    <w:rsid w:val="00F31939"/>
    <w:rsid w:val="00F323EF"/>
    <w:rsid w:val="00F33DCB"/>
    <w:rsid w:val="00F346FD"/>
    <w:rsid w:val="00F368BD"/>
    <w:rsid w:val="00F54E51"/>
    <w:rsid w:val="00F55A57"/>
    <w:rsid w:val="00F5649A"/>
    <w:rsid w:val="00F62CA0"/>
    <w:rsid w:val="00F65F50"/>
    <w:rsid w:val="00F6759B"/>
    <w:rsid w:val="00F67DC5"/>
    <w:rsid w:val="00F70B2F"/>
    <w:rsid w:val="00F74124"/>
    <w:rsid w:val="00F75C2E"/>
    <w:rsid w:val="00F80282"/>
    <w:rsid w:val="00F82342"/>
    <w:rsid w:val="00F877DB"/>
    <w:rsid w:val="00F91AE4"/>
    <w:rsid w:val="00F92AB1"/>
    <w:rsid w:val="00F93C8B"/>
    <w:rsid w:val="00F959DD"/>
    <w:rsid w:val="00F960D5"/>
    <w:rsid w:val="00FA0E81"/>
    <w:rsid w:val="00FA1BE8"/>
    <w:rsid w:val="00FA2815"/>
    <w:rsid w:val="00FA3B77"/>
    <w:rsid w:val="00FA6484"/>
    <w:rsid w:val="00FA7010"/>
    <w:rsid w:val="00FA7489"/>
    <w:rsid w:val="00FA7497"/>
    <w:rsid w:val="00FB09BF"/>
    <w:rsid w:val="00FB1231"/>
    <w:rsid w:val="00FB139D"/>
    <w:rsid w:val="00FB59F6"/>
    <w:rsid w:val="00FB73F1"/>
    <w:rsid w:val="00FB7F97"/>
    <w:rsid w:val="00FC0062"/>
    <w:rsid w:val="00FC1BD5"/>
    <w:rsid w:val="00FC1C5C"/>
    <w:rsid w:val="00FC2CEF"/>
    <w:rsid w:val="00FC5B79"/>
    <w:rsid w:val="00FD0A13"/>
    <w:rsid w:val="00FD29DC"/>
    <w:rsid w:val="00FD4608"/>
    <w:rsid w:val="00FE17E2"/>
    <w:rsid w:val="00FE3058"/>
    <w:rsid w:val="00FE56CF"/>
    <w:rsid w:val="00FF0FBA"/>
    <w:rsid w:val="00FF34D3"/>
    <w:rsid w:val="00FF394E"/>
    <w:rsid w:val="00FF6E4B"/>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C92A2E"/>
  <w15:docId w15:val="{3C10C751-E913-417C-8D65-AE0E9935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qFormat/>
    <w:rsid w:val="00E70760"/>
    <w:pPr>
      <w:ind w:left="720"/>
    </w:pPr>
  </w:style>
  <w:style w:type="character" w:styleId="FollowedHyperlink">
    <w:name w:val="FollowedHyperlink"/>
    <w:rsid w:val="00C03772"/>
    <w:rPr>
      <w:color w:val="800080"/>
      <w:u w:val="single"/>
    </w:rPr>
  </w:style>
  <w:style w:type="character" w:customStyle="1" w:styleId="ListParagraphChar">
    <w:name w:val="List Paragraph Char"/>
    <w:link w:val="ListParagraph"/>
    <w:uiPriority w:val="34"/>
    <w:rsid w:val="00AF1ADF"/>
    <w:rPr>
      <w:rFonts w:ascii="Arial" w:hAnsi="Arial"/>
      <w:sz w:val="24"/>
      <w:lang w:eastAsia="en-US"/>
    </w:rPr>
  </w:style>
  <w:style w:type="paragraph" w:customStyle="1" w:styleId="CharCharCharChar1">
    <w:name w:val="Char Char Char Char1"/>
    <w:basedOn w:val="Normal"/>
    <w:rsid w:val="001145DB"/>
    <w:pPr>
      <w:spacing w:after="160" w:line="240" w:lineRule="exact"/>
    </w:pPr>
    <w:rPr>
      <w:rFonts w:ascii="Tahoma" w:hAnsi="Tahoma"/>
      <w:sz w:val="20"/>
      <w:lang w:eastAsia="en-GB"/>
    </w:rPr>
  </w:style>
  <w:style w:type="character" w:styleId="CommentReference">
    <w:name w:val="annotation reference"/>
    <w:basedOn w:val="DefaultParagraphFont"/>
    <w:rsid w:val="00082B73"/>
    <w:rPr>
      <w:sz w:val="16"/>
      <w:szCs w:val="16"/>
    </w:rPr>
  </w:style>
  <w:style w:type="paragraph" w:styleId="CommentText">
    <w:name w:val="annotation text"/>
    <w:basedOn w:val="Normal"/>
    <w:link w:val="CommentTextChar"/>
    <w:rsid w:val="00082B73"/>
    <w:rPr>
      <w:sz w:val="20"/>
    </w:rPr>
  </w:style>
  <w:style w:type="character" w:customStyle="1" w:styleId="CommentTextChar">
    <w:name w:val="Comment Text Char"/>
    <w:basedOn w:val="DefaultParagraphFont"/>
    <w:link w:val="CommentText"/>
    <w:rsid w:val="00082B73"/>
    <w:rPr>
      <w:rFonts w:ascii="Arial" w:hAnsi="Arial"/>
      <w:lang w:eastAsia="en-US"/>
    </w:rPr>
  </w:style>
  <w:style w:type="paragraph" w:styleId="CommentSubject">
    <w:name w:val="annotation subject"/>
    <w:basedOn w:val="CommentText"/>
    <w:next w:val="CommentText"/>
    <w:link w:val="CommentSubjectChar"/>
    <w:rsid w:val="00082B73"/>
    <w:rPr>
      <w:b/>
      <w:bCs/>
    </w:rPr>
  </w:style>
  <w:style w:type="character" w:customStyle="1" w:styleId="CommentSubjectChar">
    <w:name w:val="Comment Subject Char"/>
    <w:basedOn w:val="CommentTextChar"/>
    <w:link w:val="CommentSubject"/>
    <w:rsid w:val="00082B73"/>
    <w:rPr>
      <w:rFonts w:ascii="Arial" w:hAnsi="Arial"/>
      <w:b/>
      <w:bCs/>
      <w:lang w:eastAsia="en-US"/>
    </w:rPr>
  </w:style>
  <w:style w:type="paragraph" w:styleId="BalloonText">
    <w:name w:val="Balloon Text"/>
    <w:basedOn w:val="Normal"/>
    <w:link w:val="BalloonTextChar"/>
    <w:rsid w:val="00082B73"/>
    <w:rPr>
      <w:rFonts w:ascii="Tahoma" w:hAnsi="Tahoma" w:cs="Tahoma"/>
      <w:sz w:val="16"/>
      <w:szCs w:val="16"/>
    </w:rPr>
  </w:style>
  <w:style w:type="character" w:customStyle="1" w:styleId="BalloonTextChar">
    <w:name w:val="Balloon Text Char"/>
    <w:basedOn w:val="DefaultParagraphFont"/>
    <w:link w:val="BalloonText"/>
    <w:rsid w:val="00082B73"/>
    <w:rPr>
      <w:rFonts w:ascii="Tahoma" w:hAnsi="Tahoma" w:cs="Tahoma"/>
      <w:sz w:val="16"/>
      <w:szCs w:val="16"/>
      <w:lang w:eastAsia="en-US"/>
    </w:rPr>
  </w:style>
  <w:style w:type="paragraph" w:customStyle="1" w:styleId="CharCharCharChar10">
    <w:name w:val="Char Char Char Char1"/>
    <w:basedOn w:val="Normal"/>
    <w:rsid w:val="00E31DA2"/>
    <w:pPr>
      <w:spacing w:after="160" w:line="240" w:lineRule="exact"/>
    </w:pPr>
    <w:rPr>
      <w:rFonts w:ascii="Tahoma" w:hAnsi="Tahoma"/>
      <w:sz w:val="20"/>
      <w:lang w:eastAsia="en-GB"/>
    </w:rPr>
  </w:style>
  <w:style w:type="paragraph" w:styleId="PlainText">
    <w:name w:val="Plain Text"/>
    <w:basedOn w:val="Normal"/>
    <w:link w:val="PlainTextChar"/>
    <w:uiPriority w:val="99"/>
    <w:semiHidden/>
    <w:unhideWhenUsed/>
    <w:rsid w:val="00190E2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90E2C"/>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D55627"/>
    <w:rPr>
      <w:color w:val="605E5C"/>
      <w:shd w:val="clear" w:color="auto" w:fill="E1DFDD"/>
    </w:rPr>
  </w:style>
  <w:style w:type="character" w:customStyle="1" w:styleId="Heading2Char">
    <w:name w:val="Heading 2 Char"/>
    <w:basedOn w:val="DefaultParagraphFont"/>
    <w:link w:val="Heading2"/>
    <w:rsid w:val="00EA614B"/>
    <w:rPr>
      <w:rFonts w:ascii="Arial" w:hAnsi="Arial" w:cs="Arial"/>
      <w:b/>
      <w:bCs/>
      <w:sz w:val="28"/>
      <w:szCs w:val="32"/>
      <w:lang w:eastAsia="en-US"/>
    </w:rPr>
  </w:style>
  <w:style w:type="table" w:customStyle="1" w:styleId="Style1">
    <w:name w:val="Style1"/>
    <w:basedOn w:val="TableNormal"/>
    <w:uiPriority w:val="99"/>
    <w:rsid w:val="00803A60"/>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58230513">
      <w:bodyDiv w:val="1"/>
      <w:marLeft w:val="0"/>
      <w:marRight w:val="0"/>
      <w:marTop w:val="0"/>
      <w:marBottom w:val="0"/>
      <w:divBdr>
        <w:top w:val="none" w:sz="0" w:space="0" w:color="auto"/>
        <w:left w:val="none" w:sz="0" w:space="0" w:color="auto"/>
        <w:bottom w:val="none" w:sz="0" w:space="0" w:color="auto"/>
        <w:right w:val="none" w:sz="0" w:space="0" w:color="auto"/>
      </w:divBdr>
    </w:div>
    <w:div w:id="181552891">
      <w:bodyDiv w:val="1"/>
      <w:marLeft w:val="0"/>
      <w:marRight w:val="0"/>
      <w:marTop w:val="0"/>
      <w:marBottom w:val="0"/>
      <w:divBdr>
        <w:top w:val="none" w:sz="0" w:space="0" w:color="auto"/>
        <w:left w:val="none" w:sz="0" w:space="0" w:color="auto"/>
        <w:bottom w:val="none" w:sz="0" w:space="0" w:color="auto"/>
        <w:right w:val="none" w:sz="0" w:space="0" w:color="auto"/>
      </w:divBdr>
    </w:div>
    <w:div w:id="213196011">
      <w:bodyDiv w:val="1"/>
      <w:marLeft w:val="0"/>
      <w:marRight w:val="0"/>
      <w:marTop w:val="0"/>
      <w:marBottom w:val="0"/>
      <w:divBdr>
        <w:top w:val="none" w:sz="0" w:space="0" w:color="auto"/>
        <w:left w:val="none" w:sz="0" w:space="0" w:color="auto"/>
        <w:bottom w:val="none" w:sz="0" w:space="0" w:color="auto"/>
        <w:right w:val="none" w:sz="0" w:space="0" w:color="auto"/>
      </w:divBdr>
    </w:div>
    <w:div w:id="247349777">
      <w:bodyDiv w:val="1"/>
      <w:marLeft w:val="0"/>
      <w:marRight w:val="0"/>
      <w:marTop w:val="0"/>
      <w:marBottom w:val="0"/>
      <w:divBdr>
        <w:top w:val="none" w:sz="0" w:space="0" w:color="auto"/>
        <w:left w:val="none" w:sz="0" w:space="0" w:color="auto"/>
        <w:bottom w:val="none" w:sz="0" w:space="0" w:color="auto"/>
        <w:right w:val="none" w:sz="0" w:space="0" w:color="auto"/>
      </w:divBdr>
    </w:div>
    <w:div w:id="318340193">
      <w:bodyDiv w:val="1"/>
      <w:marLeft w:val="0"/>
      <w:marRight w:val="0"/>
      <w:marTop w:val="0"/>
      <w:marBottom w:val="0"/>
      <w:divBdr>
        <w:top w:val="none" w:sz="0" w:space="0" w:color="auto"/>
        <w:left w:val="none" w:sz="0" w:space="0" w:color="auto"/>
        <w:bottom w:val="none" w:sz="0" w:space="0" w:color="auto"/>
        <w:right w:val="none" w:sz="0" w:space="0" w:color="auto"/>
      </w:divBdr>
    </w:div>
    <w:div w:id="374501993">
      <w:bodyDiv w:val="1"/>
      <w:marLeft w:val="0"/>
      <w:marRight w:val="0"/>
      <w:marTop w:val="0"/>
      <w:marBottom w:val="0"/>
      <w:divBdr>
        <w:top w:val="none" w:sz="0" w:space="0" w:color="auto"/>
        <w:left w:val="none" w:sz="0" w:space="0" w:color="auto"/>
        <w:bottom w:val="none" w:sz="0" w:space="0" w:color="auto"/>
        <w:right w:val="none" w:sz="0" w:space="0" w:color="auto"/>
      </w:divBdr>
    </w:div>
    <w:div w:id="393889214">
      <w:bodyDiv w:val="1"/>
      <w:marLeft w:val="0"/>
      <w:marRight w:val="0"/>
      <w:marTop w:val="0"/>
      <w:marBottom w:val="0"/>
      <w:divBdr>
        <w:top w:val="none" w:sz="0" w:space="0" w:color="auto"/>
        <w:left w:val="none" w:sz="0" w:space="0" w:color="auto"/>
        <w:bottom w:val="none" w:sz="0" w:space="0" w:color="auto"/>
        <w:right w:val="none" w:sz="0" w:space="0" w:color="auto"/>
      </w:divBdr>
      <w:divsChild>
        <w:div w:id="1276214152">
          <w:marLeft w:val="547"/>
          <w:marRight w:val="0"/>
          <w:marTop w:val="86"/>
          <w:marBottom w:val="0"/>
          <w:divBdr>
            <w:top w:val="none" w:sz="0" w:space="0" w:color="auto"/>
            <w:left w:val="none" w:sz="0" w:space="0" w:color="auto"/>
            <w:bottom w:val="none" w:sz="0" w:space="0" w:color="auto"/>
            <w:right w:val="none" w:sz="0" w:space="0" w:color="auto"/>
          </w:divBdr>
        </w:div>
        <w:div w:id="1312097368">
          <w:marLeft w:val="547"/>
          <w:marRight w:val="0"/>
          <w:marTop w:val="86"/>
          <w:marBottom w:val="0"/>
          <w:divBdr>
            <w:top w:val="none" w:sz="0" w:space="0" w:color="auto"/>
            <w:left w:val="none" w:sz="0" w:space="0" w:color="auto"/>
            <w:bottom w:val="none" w:sz="0" w:space="0" w:color="auto"/>
            <w:right w:val="none" w:sz="0" w:space="0" w:color="auto"/>
          </w:divBdr>
        </w:div>
        <w:div w:id="120343062">
          <w:marLeft w:val="547"/>
          <w:marRight w:val="0"/>
          <w:marTop w:val="86"/>
          <w:marBottom w:val="0"/>
          <w:divBdr>
            <w:top w:val="none" w:sz="0" w:space="0" w:color="auto"/>
            <w:left w:val="none" w:sz="0" w:space="0" w:color="auto"/>
            <w:bottom w:val="none" w:sz="0" w:space="0" w:color="auto"/>
            <w:right w:val="none" w:sz="0" w:space="0" w:color="auto"/>
          </w:divBdr>
        </w:div>
        <w:div w:id="266231683">
          <w:marLeft w:val="547"/>
          <w:marRight w:val="0"/>
          <w:marTop w:val="86"/>
          <w:marBottom w:val="0"/>
          <w:divBdr>
            <w:top w:val="none" w:sz="0" w:space="0" w:color="auto"/>
            <w:left w:val="none" w:sz="0" w:space="0" w:color="auto"/>
            <w:bottom w:val="none" w:sz="0" w:space="0" w:color="auto"/>
            <w:right w:val="none" w:sz="0" w:space="0" w:color="auto"/>
          </w:divBdr>
        </w:div>
        <w:div w:id="775054036">
          <w:marLeft w:val="547"/>
          <w:marRight w:val="0"/>
          <w:marTop w:val="86"/>
          <w:marBottom w:val="0"/>
          <w:divBdr>
            <w:top w:val="none" w:sz="0" w:space="0" w:color="auto"/>
            <w:left w:val="none" w:sz="0" w:space="0" w:color="auto"/>
            <w:bottom w:val="none" w:sz="0" w:space="0" w:color="auto"/>
            <w:right w:val="none" w:sz="0" w:space="0" w:color="auto"/>
          </w:divBdr>
        </w:div>
      </w:divsChild>
    </w:div>
    <w:div w:id="394624250">
      <w:bodyDiv w:val="1"/>
      <w:marLeft w:val="0"/>
      <w:marRight w:val="0"/>
      <w:marTop w:val="0"/>
      <w:marBottom w:val="0"/>
      <w:divBdr>
        <w:top w:val="none" w:sz="0" w:space="0" w:color="auto"/>
        <w:left w:val="none" w:sz="0" w:space="0" w:color="auto"/>
        <w:bottom w:val="none" w:sz="0" w:space="0" w:color="auto"/>
        <w:right w:val="none" w:sz="0" w:space="0" w:color="auto"/>
      </w:divBdr>
    </w:div>
    <w:div w:id="480581083">
      <w:bodyDiv w:val="1"/>
      <w:marLeft w:val="0"/>
      <w:marRight w:val="0"/>
      <w:marTop w:val="0"/>
      <w:marBottom w:val="0"/>
      <w:divBdr>
        <w:top w:val="none" w:sz="0" w:space="0" w:color="auto"/>
        <w:left w:val="none" w:sz="0" w:space="0" w:color="auto"/>
        <w:bottom w:val="none" w:sz="0" w:space="0" w:color="auto"/>
        <w:right w:val="none" w:sz="0" w:space="0" w:color="auto"/>
      </w:divBdr>
    </w:div>
    <w:div w:id="510067857">
      <w:bodyDiv w:val="1"/>
      <w:marLeft w:val="0"/>
      <w:marRight w:val="0"/>
      <w:marTop w:val="0"/>
      <w:marBottom w:val="0"/>
      <w:divBdr>
        <w:top w:val="none" w:sz="0" w:space="0" w:color="auto"/>
        <w:left w:val="none" w:sz="0" w:space="0" w:color="auto"/>
        <w:bottom w:val="none" w:sz="0" w:space="0" w:color="auto"/>
        <w:right w:val="none" w:sz="0" w:space="0" w:color="auto"/>
      </w:divBdr>
      <w:divsChild>
        <w:div w:id="1012488082">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9170350">
      <w:bodyDiv w:val="1"/>
      <w:marLeft w:val="0"/>
      <w:marRight w:val="0"/>
      <w:marTop w:val="0"/>
      <w:marBottom w:val="0"/>
      <w:divBdr>
        <w:top w:val="none" w:sz="0" w:space="0" w:color="auto"/>
        <w:left w:val="none" w:sz="0" w:space="0" w:color="auto"/>
        <w:bottom w:val="none" w:sz="0" w:space="0" w:color="auto"/>
        <w:right w:val="none" w:sz="0" w:space="0" w:color="auto"/>
      </w:divBdr>
    </w:div>
    <w:div w:id="583421922">
      <w:bodyDiv w:val="1"/>
      <w:marLeft w:val="0"/>
      <w:marRight w:val="0"/>
      <w:marTop w:val="0"/>
      <w:marBottom w:val="0"/>
      <w:divBdr>
        <w:top w:val="none" w:sz="0" w:space="0" w:color="auto"/>
        <w:left w:val="none" w:sz="0" w:space="0" w:color="auto"/>
        <w:bottom w:val="none" w:sz="0" w:space="0" w:color="auto"/>
        <w:right w:val="none" w:sz="0" w:space="0" w:color="auto"/>
      </w:divBdr>
    </w:div>
    <w:div w:id="609430324">
      <w:bodyDiv w:val="1"/>
      <w:marLeft w:val="0"/>
      <w:marRight w:val="0"/>
      <w:marTop w:val="0"/>
      <w:marBottom w:val="0"/>
      <w:divBdr>
        <w:top w:val="none" w:sz="0" w:space="0" w:color="auto"/>
        <w:left w:val="none" w:sz="0" w:space="0" w:color="auto"/>
        <w:bottom w:val="none" w:sz="0" w:space="0" w:color="auto"/>
        <w:right w:val="none" w:sz="0" w:space="0" w:color="auto"/>
      </w:divBdr>
    </w:div>
    <w:div w:id="646202880">
      <w:bodyDiv w:val="1"/>
      <w:marLeft w:val="0"/>
      <w:marRight w:val="0"/>
      <w:marTop w:val="0"/>
      <w:marBottom w:val="0"/>
      <w:divBdr>
        <w:top w:val="none" w:sz="0" w:space="0" w:color="auto"/>
        <w:left w:val="none" w:sz="0" w:space="0" w:color="auto"/>
        <w:bottom w:val="none" w:sz="0" w:space="0" w:color="auto"/>
        <w:right w:val="none" w:sz="0" w:space="0" w:color="auto"/>
      </w:divBdr>
    </w:div>
    <w:div w:id="677851721">
      <w:bodyDiv w:val="1"/>
      <w:marLeft w:val="0"/>
      <w:marRight w:val="0"/>
      <w:marTop w:val="0"/>
      <w:marBottom w:val="0"/>
      <w:divBdr>
        <w:top w:val="none" w:sz="0" w:space="0" w:color="auto"/>
        <w:left w:val="none" w:sz="0" w:space="0" w:color="auto"/>
        <w:bottom w:val="none" w:sz="0" w:space="0" w:color="auto"/>
        <w:right w:val="none" w:sz="0" w:space="0" w:color="auto"/>
      </w:divBdr>
    </w:div>
    <w:div w:id="690836801">
      <w:bodyDiv w:val="1"/>
      <w:marLeft w:val="0"/>
      <w:marRight w:val="0"/>
      <w:marTop w:val="0"/>
      <w:marBottom w:val="0"/>
      <w:divBdr>
        <w:top w:val="none" w:sz="0" w:space="0" w:color="auto"/>
        <w:left w:val="none" w:sz="0" w:space="0" w:color="auto"/>
        <w:bottom w:val="none" w:sz="0" w:space="0" w:color="auto"/>
        <w:right w:val="none" w:sz="0" w:space="0" w:color="auto"/>
      </w:divBdr>
    </w:div>
    <w:div w:id="736635108">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2575183">
      <w:bodyDiv w:val="1"/>
      <w:marLeft w:val="0"/>
      <w:marRight w:val="0"/>
      <w:marTop w:val="0"/>
      <w:marBottom w:val="0"/>
      <w:divBdr>
        <w:top w:val="none" w:sz="0" w:space="0" w:color="auto"/>
        <w:left w:val="none" w:sz="0" w:space="0" w:color="auto"/>
        <w:bottom w:val="none" w:sz="0" w:space="0" w:color="auto"/>
        <w:right w:val="none" w:sz="0" w:space="0" w:color="auto"/>
      </w:divBdr>
    </w:div>
    <w:div w:id="794954485">
      <w:bodyDiv w:val="1"/>
      <w:marLeft w:val="0"/>
      <w:marRight w:val="0"/>
      <w:marTop w:val="0"/>
      <w:marBottom w:val="0"/>
      <w:divBdr>
        <w:top w:val="none" w:sz="0" w:space="0" w:color="auto"/>
        <w:left w:val="none" w:sz="0" w:space="0" w:color="auto"/>
        <w:bottom w:val="none" w:sz="0" w:space="0" w:color="auto"/>
        <w:right w:val="none" w:sz="0" w:space="0" w:color="auto"/>
      </w:divBdr>
    </w:div>
    <w:div w:id="828517265">
      <w:bodyDiv w:val="1"/>
      <w:marLeft w:val="0"/>
      <w:marRight w:val="0"/>
      <w:marTop w:val="0"/>
      <w:marBottom w:val="0"/>
      <w:divBdr>
        <w:top w:val="none" w:sz="0" w:space="0" w:color="auto"/>
        <w:left w:val="none" w:sz="0" w:space="0" w:color="auto"/>
        <w:bottom w:val="none" w:sz="0" w:space="0" w:color="auto"/>
        <w:right w:val="none" w:sz="0" w:space="0" w:color="auto"/>
      </w:divBdr>
    </w:div>
    <w:div w:id="8852632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65426946">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995033260">
      <w:bodyDiv w:val="1"/>
      <w:marLeft w:val="0"/>
      <w:marRight w:val="0"/>
      <w:marTop w:val="0"/>
      <w:marBottom w:val="0"/>
      <w:divBdr>
        <w:top w:val="none" w:sz="0" w:space="0" w:color="auto"/>
        <w:left w:val="none" w:sz="0" w:space="0" w:color="auto"/>
        <w:bottom w:val="none" w:sz="0" w:space="0" w:color="auto"/>
        <w:right w:val="none" w:sz="0" w:space="0" w:color="auto"/>
      </w:divBdr>
    </w:div>
    <w:div w:id="1004895720">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4353838">
      <w:bodyDiv w:val="1"/>
      <w:marLeft w:val="0"/>
      <w:marRight w:val="0"/>
      <w:marTop w:val="0"/>
      <w:marBottom w:val="0"/>
      <w:divBdr>
        <w:top w:val="none" w:sz="0" w:space="0" w:color="auto"/>
        <w:left w:val="none" w:sz="0" w:space="0" w:color="auto"/>
        <w:bottom w:val="none" w:sz="0" w:space="0" w:color="auto"/>
        <w:right w:val="none" w:sz="0" w:space="0" w:color="auto"/>
      </w:divBdr>
    </w:div>
    <w:div w:id="1074006146">
      <w:bodyDiv w:val="1"/>
      <w:marLeft w:val="0"/>
      <w:marRight w:val="0"/>
      <w:marTop w:val="0"/>
      <w:marBottom w:val="0"/>
      <w:divBdr>
        <w:top w:val="none" w:sz="0" w:space="0" w:color="auto"/>
        <w:left w:val="none" w:sz="0" w:space="0" w:color="auto"/>
        <w:bottom w:val="none" w:sz="0" w:space="0" w:color="auto"/>
        <w:right w:val="none" w:sz="0" w:space="0" w:color="auto"/>
      </w:divBdr>
      <w:divsChild>
        <w:div w:id="488908664">
          <w:marLeft w:val="547"/>
          <w:marRight w:val="0"/>
          <w:marTop w:val="86"/>
          <w:marBottom w:val="0"/>
          <w:divBdr>
            <w:top w:val="none" w:sz="0" w:space="0" w:color="auto"/>
            <w:left w:val="none" w:sz="0" w:space="0" w:color="auto"/>
            <w:bottom w:val="none" w:sz="0" w:space="0" w:color="auto"/>
            <w:right w:val="none" w:sz="0" w:space="0" w:color="auto"/>
          </w:divBdr>
        </w:div>
        <w:div w:id="1919364934">
          <w:marLeft w:val="547"/>
          <w:marRight w:val="0"/>
          <w:marTop w:val="86"/>
          <w:marBottom w:val="0"/>
          <w:divBdr>
            <w:top w:val="none" w:sz="0" w:space="0" w:color="auto"/>
            <w:left w:val="none" w:sz="0" w:space="0" w:color="auto"/>
            <w:bottom w:val="none" w:sz="0" w:space="0" w:color="auto"/>
            <w:right w:val="none" w:sz="0" w:space="0" w:color="auto"/>
          </w:divBdr>
        </w:div>
        <w:div w:id="2030638492">
          <w:marLeft w:val="547"/>
          <w:marRight w:val="0"/>
          <w:marTop w:val="86"/>
          <w:marBottom w:val="0"/>
          <w:divBdr>
            <w:top w:val="none" w:sz="0" w:space="0" w:color="auto"/>
            <w:left w:val="none" w:sz="0" w:space="0" w:color="auto"/>
            <w:bottom w:val="none" w:sz="0" w:space="0" w:color="auto"/>
            <w:right w:val="none" w:sz="0" w:space="0" w:color="auto"/>
          </w:divBdr>
        </w:div>
        <w:div w:id="1871146681">
          <w:marLeft w:val="547"/>
          <w:marRight w:val="0"/>
          <w:marTop w:val="86"/>
          <w:marBottom w:val="0"/>
          <w:divBdr>
            <w:top w:val="none" w:sz="0" w:space="0" w:color="auto"/>
            <w:left w:val="none" w:sz="0" w:space="0" w:color="auto"/>
            <w:bottom w:val="none" w:sz="0" w:space="0" w:color="auto"/>
            <w:right w:val="none" w:sz="0" w:space="0" w:color="auto"/>
          </w:divBdr>
        </w:div>
        <w:div w:id="641424718">
          <w:marLeft w:val="547"/>
          <w:marRight w:val="0"/>
          <w:marTop w:val="86"/>
          <w:marBottom w:val="0"/>
          <w:divBdr>
            <w:top w:val="none" w:sz="0" w:space="0" w:color="auto"/>
            <w:left w:val="none" w:sz="0" w:space="0" w:color="auto"/>
            <w:bottom w:val="none" w:sz="0" w:space="0" w:color="auto"/>
            <w:right w:val="none" w:sz="0" w:space="0" w:color="auto"/>
          </w:divBdr>
        </w:div>
        <w:div w:id="1758862868">
          <w:marLeft w:val="547"/>
          <w:marRight w:val="0"/>
          <w:marTop w:val="86"/>
          <w:marBottom w:val="0"/>
          <w:divBdr>
            <w:top w:val="none" w:sz="0" w:space="0" w:color="auto"/>
            <w:left w:val="none" w:sz="0" w:space="0" w:color="auto"/>
            <w:bottom w:val="none" w:sz="0" w:space="0" w:color="auto"/>
            <w:right w:val="none" w:sz="0" w:space="0" w:color="auto"/>
          </w:divBdr>
        </w:div>
        <w:div w:id="1835998498">
          <w:marLeft w:val="547"/>
          <w:marRight w:val="0"/>
          <w:marTop w:val="86"/>
          <w:marBottom w:val="0"/>
          <w:divBdr>
            <w:top w:val="none" w:sz="0" w:space="0" w:color="auto"/>
            <w:left w:val="none" w:sz="0" w:space="0" w:color="auto"/>
            <w:bottom w:val="none" w:sz="0" w:space="0" w:color="auto"/>
            <w:right w:val="none" w:sz="0" w:space="0" w:color="auto"/>
          </w:divBdr>
        </w:div>
      </w:divsChild>
    </w:div>
    <w:div w:id="1130124546">
      <w:bodyDiv w:val="1"/>
      <w:marLeft w:val="0"/>
      <w:marRight w:val="0"/>
      <w:marTop w:val="0"/>
      <w:marBottom w:val="0"/>
      <w:divBdr>
        <w:top w:val="none" w:sz="0" w:space="0" w:color="auto"/>
        <w:left w:val="none" w:sz="0" w:space="0" w:color="auto"/>
        <w:bottom w:val="none" w:sz="0" w:space="0" w:color="auto"/>
        <w:right w:val="none" w:sz="0" w:space="0" w:color="auto"/>
      </w:divBdr>
    </w:div>
    <w:div w:id="1180049524">
      <w:bodyDiv w:val="1"/>
      <w:marLeft w:val="0"/>
      <w:marRight w:val="0"/>
      <w:marTop w:val="0"/>
      <w:marBottom w:val="0"/>
      <w:divBdr>
        <w:top w:val="none" w:sz="0" w:space="0" w:color="auto"/>
        <w:left w:val="none" w:sz="0" w:space="0" w:color="auto"/>
        <w:bottom w:val="none" w:sz="0" w:space="0" w:color="auto"/>
        <w:right w:val="none" w:sz="0" w:space="0" w:color="auto"/>
      </w:divBdr>
    </w:div>
    <w:div w:id="1199003687">
      <w:bodyDiv w:val="1"/>
      <w:marLeft w:val="0"/>
      <w:marRight w:val="0"/>
      <w:marTop w:val="0"/>
      <w:marBottom w:val="0"/>
      <w:divBdr>
        <w:top w:val="none" w:sz="0" w:space="0" w:color="auto"/>
        <w:left w:val="none" w:sz="0" w:space="0" w:color="auto"/>
        <w:bottom w:val="none" w:sz="0" w:space="0" w:color="auto"/>
        <w:right w:val="none" w:sz="0" w:space="0" w:color="auto"/>
      </w:divBdr>
    </w:div>
    <w:div w:id="1200585560">
      <w:bodyDiv w:val="1"/>
      <w:marLeft w:val="0"/>
      <w:marRight w:val="0"/>
      <w:marTop w:val="0"/>
      <w:marBottom w:val="0"/>
      <w:divBdr>
        <w:top w:val="none" w:sz="0" w:space="0" w:color="auto"/>
        <w:left w:val="none" w:sz="0" w:space="0" w:color="auto"/>
        <w:bottom w:val="none" w:sz="0" w:space="0" w:color="auto"/>
        <w:right w:val="none" w:sz="0" w:space="0" w:color="auto"/>
      </w:divBdr>
    </w:div>
    <w:div w:id="1269966975">
      <w:bodyDiv w:val="1"/>
      <w:marLeft w:val="0"/>
      <w:marRight w:val="0"/>
      <w:marTop w:val="0"/>
      <w:marBottom w:val="0"/>
      <w:divBdr>
        <w:top w:val="none" w:sz="0" w:space="0" w:color="auto"/>
        <w:left w:val="none" w:sz="0" w:space="0" w:color="auto"/>
        <w:bottom w:val="none" w:sz="0" w:space="0" w:color="auto"/>
        <w:right w:val="none" w:sz="0" w:space="0" w:color="auto"/>
      </w:divBdr>
    </w:div>
    <w:div w:id="1311448204">
      <w:bodyDiv w:val="1"/>
      <w:marLeft w:val="0"/>
      <w:marRight w:val="0"/>
      <w:marTop w:val="0"/>
      <w:marBottom w:val="0"/>
      <w:divBdr>
        <w:top w:val="none" w:sz="0" w:space="0" w:color="auto"/>
        <w:left w:val="none" w:sz="0" w:space="0" w:color="auto"/>
        <w:bottom w:val="none" w:sz="0" w:space="0" w:color="auto"/>
        <w:right w:val="none" w:sz="0" w:space="0" w:color="auto"/>
      </w:divBdr>
    </w:div>
    <w:div w:id="1334793918">
      <w:bodyDiv w:val="1"/>
      <w:marLeft w:val="0"/>
      <w:marRight w:val="0"/>
      <w:marTop w:val="0"/>
      <w:marBottom w:val="0"/>
      <w:divBdr>
        <w:top w:val="none" w:sz="0" w:space="0" w:color="auto"/>
        <w:left w:val="none" w:sz="0" w:space="0" w:color="auto"/>
        <w:bottom w:val="none" w:sz="0" w:space="0" w:color="auto"/>
        <w:right w:val="none" w:sz="0" w:space="0" w:color="auto"/>
      </w:divBdr>
    </w:div>
    <w:div w:id="1390300606">
      <w:bodyDiv w:val="1"/>
      <w:marLeft w:val="0"/>
      <w:marRight w:val="0"/>
      <w:marTop w:val="0"/>
      <w:marBottom w:val="0"/>
      <w:divBdr>
        <w:top w:val="none" w:sz="0" w:space="0" w:color="auto"/>
        <w:left w:val="none" w:sz="0" w:space="0" w:color="auto"/>
        <w:bottom w:val="none" w:sz="0" w:space="0" w:color="auto"/>
        <w:right w:val="none" w:sz="0" w:space="0" w:color="auto"/>
      </w:divBdr>
    </w:div>
    <w:div w:id="1414014727">
      <w:bodyDiv w:val="1"/>
      <w:marLeft w:val="0"/>
      <w:marRight w:val="0"/>
      <w:marTop w:val="0"/>
      <w:marBottom w:val="0"/>
      <w:divBdr>
        <w:top w:val="none" w:sz="0" w:space="0" w:color="auto"/>
        <w:left w:val="none" w:sz="0" w:space="0" w:color="auto"/>
        <w:bottom w:val="none" w:sz="0" w:space="0" w:color="auto"/>
        <w:right w:val="none" w:sz="0" w:space="0" w:color="auto"/>
      </w:divBdr>
    </w:div>
    <w:div w:id="1438939895">
      <w:bodyDiv w:val="1"/>
      <w:marLeft w:val="0"/>
      <w:marRight w:val="0"/>
      <w:marTop w:val="0"/>
      <w:marBottom w:val="0"/>
      <w:divBdr>
        <w:top w:val="none" w:sz="0" w:space="0" w:color="auto"/>
        <w:left w:val="none" w:sz="0" w:space="0" w:color="auto"/>
        <w:bottom w:val="none" w:sz="0" w:space="0" w:color="auto"/>
        <w:right w:val="none" w:sz="0" w:space="0" w:color="auto"/>
      </w:divBdr>
    </w:div>
    <w:div w:id="1488090924">
      <w:bodyDiv w:val="1"/>
      <w:marLeft w:val="0"/>
      <w:marRight w:val="0"/>
      <w:marTop w:val="0"/>
      <w:marBottom w:val="0"/>
      <w:divBdr>
        <w:top w:val="none" w:sz="0" w:space="0" w:color="auto"/>
        <w:left w:val="none" w:sz="0" w:space="0" w:color="auto"/>
        <w:bottom w:val="none" w:sz="0" w:space="0" w:color="auto"/>
        <w:right w:val="none" w:sz="0" w:space="0" w:color="auto"/>
      </w:divBdr>
    </w:div>
    <w:div w:id="1504130885">
      <w:bodyDiv w:val="1"/>
      <w:marLeft w:val="0"/>
      <w:marRight w:val="0"/>
      <w:marTop w:val="0"/>
      <w:marBottom w:val="0"/>
      <w:divBdr>
        <w:top w:val="none" w:sz="0" w:space="0" w:color="auto"/>
        <w:left w:val="none" w:sz="0" w:space="0" w:color="auto"/>
        <w:bottom w:val="none" w:sz="0" w:space="0" w:color="auto"/>
        <w:right w:val="none" w:sz="0" w:space="0" w:color="auto"/>
      </w:divBdr>
    </w:div>
    <w:div w:id="1523477702">
      <w:bodyDiv w:val="1"/>
      <w:marLeft w:val="0"/>
      <w:marRight w:val="0"/>
      <w:marTop w:val="0"/>
      <w:marBottom w:val="0"/>
      <w:divBdr>
        <w:top w:val="none" w:sz="0" w:space="0" w:color="auto"/>
        <w:left w:val="none" w:sz="0" w:space="0" w:color="auto"/>
        <w:bottom w:val="none" w:sz="0" w:space="0" w:color="auto"/>
        <w:right w:val="none" w:sz="0" w:space="0" w:color="auto"/>
      </w:divBdr>
    </w:div>
    <w:div w:id="1526867684">
      <w:bodyDiv w:val="1"/>
      <w:marLeft w:val="0"/>
      <w:marRight w:val="0"/>
      <w:marTop w:val="0"/>
      <w:marBottom w:val="0"/>
      <w:divBdr>
        <w:top w:val="none" w:sz="0" w:space="0" w:color="auto"/>
        <w:left w:val="none" w:sz="0" w:space="0" w:color="auto"/>
        <w:bottom w:val="none" w:sz="0" w:space="0" w:color="auto"/>
        <w:right w:val="none" w:sz="0" w:space="0" w:color="auto"/>
      </w:divBdr>
      <w:divsChild>
        <w:div w:id="1073896934">
          <w:marLeft w:val="547"/>
          <w:marRight w:val="0"/>
          <w:marTop w:val="86"/>
          <w:marBottom w:val="0"/>
          <w:divBdr>
            <w:top w:val="none" w:sz="0" w:space="0" w:color="auto"/>
            <w:left w:val="none" w:sz="0" w:space="0" w:color="auto"/>
            <w:bottom w:val="none" w:sz="0" w:space="0" w:color="auto"/>
            <w:right w:val="none" w:sz="0" w:space="0" w:color="auto"/>
          </w:divBdr>
        </w:div>
        <w:div w:id="1986930438">
          <w:marLeft w:val="547"/>
          <w:marRight w:val="0"/>
          <w:marTop w:val="86"/>
          <w:marBottom w:val="0"/>
          <w:divBdr>
            <w:top w:val="none" w:sz="0" w:space="0" w:color="auto"/>
            <w:left w:val="none" w:sz="0" w:space="0" w:color="auto"/>
            <w:bottom w:val="none" w:sz="0" w:space="0" w:color="auto"/>
            <w:right w:val="none" w:sz="0" w:space="0" w:color="auto"/>
          </w:divBdr>
        </w:div>
        <w:div w:id="141121094">
          <w:marLeft w:val="547"/>
          <w:marRight w:val="0"/>
          <w:marTop w:val="86"/>
          <w:marBottom w:val="0"/>
          <w:divBdr>
            <w:top w:val="none" w:sz="0" w:space="0" w:color="auto"/>
            <w:left w:val="none" w:sz="0" w:space="0" w:color="auto"/>
            <w:bottom w:val="none" w:sz="0" w:space="0" w:color="auto"/>
            <w:right w:val="none" w:sz="0" w:space="0" w:color="auto"/>
          </w:divBdr>
        </w:div>
        <w:div w:id="1121605635">
          <w:marLeft w:val="547"/>
          <w:marRight w:val="0"/>
          <w:marTop w:val="86"/>
          <w:marBottom w:val="0"/>
          <w:divBdr>
            <w:top w:val="none" w:sz="0" w:space="0" w:color="auto"/>
            <w:left w:val="none" w:sz="0" w:space="0" w:color="auto"/>
            <w:bottom w:val="none" w:sz="0" w:space="0" w:color="auto"/>
            <w:right w:val="none" w:sz="0" w:space="0" w:color="auto"/>
          </w:divBdr>
        </w:div>
        <w:div w:id="1399091464">
          <w:marLeft w:val="547"/>
          <w:marRight w:val="0"/>
          <w:marTop w:val="86"/>
          <w:marBottom w:val="0"/>
          <w:divBdr>
            <w:top w:val="none" w:sz="0" w:space="0" w:color="auto"/>
            <w:left w:val="none" w:sz="0" w:space="0" w:color="auto"/>
            <w:bottom w:val="none" w:sz="0" w:space="0" w:color="auto"/>
            <w:right w:val="none" w:sz="0" w:space="0" w:color="auto"/>
          </w:divBdr>
        </w:div>
      </w:divsChild>
    </w:div>
    <w:div w:id="1535772940">
      <w:bodyDiv w:val="1"/>
      <w:marLeft w:val="0"/>
      <w:marRight w:val="0"/>
      <w:marTop w:val="0"/>
      <w:marBottom w:val="0"/>
      <w:divBdr>
        <w:top w:val="none" w:sz="0" w:space="0" w:color="auto"/>
        <w:left w:val="none" w:sz="0" w:space="0" w:color="auto"/>
        <w:bottom w:val="none" w:sz="0" w:space="0" w:color="auto"/>
        <w:right w:val="none" w:sz="0" w:space="0" w:color="auto"/>
      </w:divBdr>
    </w:div>
    <w:div w:id="1535968175">
      <w:bodyDiv w:val="1"/>
      <w:marLeft w:val="0"/>
      <w:marRight w:val="0"/>
      <w:marTop w:val="0"/>
      <w:marBottom w:val="0"/>
      <w:divBdr>
        <w:top w:val="none" w:sz="0" w:space="0" w:color="auto"/>
        <w:left w:val="none" w:sz="0" w:space="0" w:color="auto"/>
        <w:bottom w:val="none" w:sz="0" w:space="0" w:color="auto"/>
        <w:right w:val="none" w:sz="0" w:space="0" w:color="auto"/>
      </w:divBdr>
    </w:div>
    <w:div w:id="1612594198">
      <w:bodyDiv w:val="1"/>
      <w:marLeft w:val="0"/>
      <w:marRight w:val="0"/>
      <w:marTop w:val="0"/>
      <w:marBottom w:val="0"/>
      <w:divBdr>
        <w:top w:val="none" w:sz="0" w:space="0" w:color="auto"/>
        <w:left w:val="none" w:sz="0" w:space="0" w:color="auto"/>
        <w:bottom w:val="none" w:sz="0" w:space="0" w:color="auto"/>
        <w:right w:val="none" w:sz="0" w:space="0" w:color="auto"/>
      </w:divBdr>
    </w:div>
    <w:div w:id="1640377010">
      <w:bodyDiv w:val="1"/>
      <w:marLeft w:val="0"/>
      <w:marRight w:val="0"/>
      <w:marTop w:val="0"/>
      <w:marBottom w:val="0"/>
      <w:divBdr>
        <w:top w:val="none" w:sz="0" w:space="0" w:color="auto"/>
        <w:left w:val="none" w:sz="0" w:space="0" w:color="auto"/>
        <w:bottom w:val="none" w:sz="0" w:space="0" w:color="auto"/>
        <w:right w:val="none" w:sz="0" w:space="0" w:color="auto"/>
      </w:divBdr>
    </w:div>
    <w:div w:id="1658728251">
      <w:bodyDiv w:val="1"/>
      <w:marLeft w:val="0"/>
      <w:marRight w:val="0"/>
      <w:marTop w:val="0"/>
      <w:marBottom w:val="0"/>
      <w:divBdr>
        <w:top w:val="none" w:sz="0" w:space="0" w:color="auto"/>
        <w:left w:val="none" w:sz="0" w:space="0" w:color="auto"/>
        <w:bottom w:val="none" w:sz="0" w:space="0" w:color="auto"/>
        <w:right w:val="none" w:sz="0" w:space="0" w:color="auto"/>
      </w:divBdr>
    </w:div>
    <w:div w:id="1683166011">
      <w:bodyDiv w:val="1"/>
      <w:marLeft w:val="0"/>
      <w:marRight w:val="0"/>
      <w:marTop w:val="0"/>
      <w:marBottom w:val="0"/>
      <w:divBdr>
        <w:top w:val="none" w:sz="0" w:space="0" w:color="auto"/>
        <w:left w:val="none" w:sz="0" w:space="0" w:color="auto"/>
        <w:bottom w:val="none" w:sz="0" w:space="0" w:color="auto"/>
        <w:right w:val="none" w:sz="0" w:space="0" w:color="auto"/>
      </w:divBdr>
    </w:div>
    <w:div w:id="1704406095">
      <w:bodyDiv w:val="1"/>
      <w:marLeft w:val="0"/>
      <w:marRight w:val="0"/>
      <w:marTop w:val="0"/>
      <w:marBottom w:val="0"/>
      <w:divBdr>
        <w:top w:val="none" w:sz="0" w:space="0" w:color="auto"/>
        <w:left w:val="none" w:sz="0" w:space="0" w:color="auto"/>
        <w:bottom w:val="none" w:sz="0" w:space="0" w:color="auto"/>
        <w:right w:val="none" w:sz="0" w:space="0" w:color="auto"/>
      </w:divBdr>
    </w:div>
    <w:div w:id="1804421712">
      <w:bodyDiv w:val="1"/>
      <w:marLeft w:val="0"/>
      <w:marRight w:val="0"/>
      <w:marTop w:val="0"/>
      <w:marBottom w:val="0"/>
      <w:divBdr>
        <w:top w:val="none" w:sz="0" w:space="0" w:color="auto"/>
        <w:left w:val="none" w:sz="0" w:space="0" w:color="auto"/>
        <w:bottom w:val="none" w:sz="0" w:space="0" w:color="auto"/>
        <w:right w:val="none" w:sz="0" w:space="0" w:color="auto"/>
      </w:divBdr>
      <w:divsChild>
        <w:div w:id="1402169711">
          <w:marLeft w:val="0"/>
          <w:marRight w:val="0"/>
          <w:marTop w:val="0"/>
          <w:marBottom w:val="0"/>
          <w:divBdr>
            <w:top w:val="none" w:sz="0" w:space="0" w:color="auto"/>
            <w:left w:val="none" w:sz="0" w:space="0" w:color="auto"/>
            <w:bottom w:val="none" w:sz="0" w:space="0" w:color="auto"/>
            <w:right w:val="none" w:sz="0" w:space="0" w:color="auto"/>
          </w:divBdr>
        </w:div>
      </w:divsChild>
    </w:div>
    <w:div w:id="1822693366">
      <w:bodyDiv w:val="1"/>
      <w:marLeft w:val="0"/>
      <w:marRight w:val="0"/>
      <w:marTop w:val="0"/>
      <w:marBottom w:val="0"/>
      <w:divBdr>
        <w:top w:val="none" w:sz="0" w:space="0" w:color="auto"/>
        <w:left w:val="none" w:sz="0" w:space="0" w:color="auto"/>
        <w:bottom w:val="none" w:sz="0" w:space="0" w:color="auto"/>
        <w:right w:val="none" w:sz="0" w:space="0" w:color="auto"/>
      </w:divBdr>
    </w:div>
    <w:div w:id="1899121236">
      <w:bodyDiv w:val="1"/>
      <w:marLeft w:val="0"/>
      <w:marRight w:val="0"/>
      <w:marTop w:val="0"/>
      <w:marBottom w:val="0"/>
      <w:divBdr>
        <w:top w:val="none" w:sz="0" w:space="0" w:color="auto"/>
        <w:left w:val="none" w:sz="0" w:space="0" w:color="auto"/>
        <w:bottom w:val="none" w:sz="0" w:space="0" w:color="auto"/>
        <w:right w:val="none" w:sz="0" w:space="0" w:color="auto"/>
      </w:divBdr>
    </w:div>
    <w:div w:id="1901209654">
      <w:bodyDiv w:val="1"/>
      <w:marLeft w:val="0"/>
      <w:marRight w:val="0"/>
      <w:marTop w:val="0"/>
      <w:marBottom w:val="0"/>
      <w:divBdr>
        <w:top w:val="none" w:sz="0" w:space="0" w:color="auto"/>
        <w:left w:val="none" w:sz="0" w:space="0" w:color="auto"/>
        <w:bottom w:val="none" w:sz="0" w:space="0" w:color="auto"/>
        <w:right w:val="none" w:sz="0" w:space="0" w:color="auto"/>
      </w:divBdr>
    </w:div>
    <w:div w:id="1977877049">
      <w:bodyDiv w:val="1"/>
      <w:marLeft w:val="0"/>
      <w:marRight w:val="0"/>
      <w:marTop w:val="0"/>
      <w:marBottom w:val="0"/>
      <w:divBdr>
        <w:top w:val="none" w:sz="0" w:space="0" w:color="auto"/>
        <w:left w:val="none" w:sz="0" w:space="0" w:color="auto"/>
        <w:bottom w:val="none" w:sz="0" w:space="0" w:color="auto"/>
        <w:right w:val="none" w:sz="0" w:space="0" w:color="auto"/>
      </w:divBdr>
    </w:div>
    <w:div w:id="1981032348">
      <w:bodyDiv w:val="1"/>
      <w:marLeft w:val="0"/>
      <w:marRight w:val="0"/>
      <w:marTop w:val="0"/>
      <w:marBottom w:val="0"/>
      <w:divBdr>
        <w:top w:val="none" w:sz="0" w:space="0" w:color="auto"/>
        <w:left w:val="none" w:sz="0" w:space="0" w:color="auto"/>
        <w:bottom w:val="none" w:sz="0" w:space="0" w:color="auto"/>
        <w:right w:val="none" w:sz="0" w:space="0" w:color="auto"/>
      </w:divBdr>
    </w:div>
    <w:div w:id="1984508031">
      <w:bodyDiv w:val="1"/>
      <w:marLeft w:val="0"/>
      <w:marRight w:val="0"/>
      <w:marTop w:val="0"/>
      <w:marBottom w:val="0"/>
      <w:divBdr>
        <w:top w:val="none" w:sz="0" w:space="0" w:color="auto"/>
        <w:left w:val="none" w:sz="0" w:space="0" w:color="auto"/>
        <w:bottom w:val="none" w:sz="0" w:space="0" w:color="auto"/>
        <w:right w:val="none" w:sz="0" w:space="0" w:color="auto"/>
      </w:divBdr>
    </w:div>
    <w:div w:id="2000768835">
      <w:bodyDiv w:val="1"/>
      <w:marLeft w:val="0"/>
      <w:marRight w:val="0"/>
      <w:marTop w:val="0"/>
      <w:marBottom w:val="0"/>
      <w:divBdr>
        <w:top w:val="none" w:sz="0" w:space="0" w:color="auto"/>
        <w:left w:val="none" w:sz="0" w:space="0" w:color="auto"/>
        <w:bottom w:val="none" w:sz="0" w:space="0" w:color="auto"/>
        <w:right w:val="none" w:sz="0" w:space="0" w:color="auto"/>
      </w:divBdr>
      <w:divsChild>
        <w:div w:id="1609696945">
          <w:marLeft w:val="547"/>
          <w:marRight w:val="0"/>
          <w:marTop w:val="86"/>
          <w:marBottom w:val="0"/>
          <w:divBdr>
            <w:top w:val="none" w:sz="0" w:space="0" w:color="auto"/>
            <w:left w:val="none" w:sz="0" w:space="0" w:color="auto"/>
            <w:bottom w:val="none" w:sz="0" w:space="0" w:color="auto"/>
            <w:right w:val="none" w:sz="0" w:space="0" w:color="auto"/>
          </w:divBdr>
        </w:div>
        <w:div w:id="722485636">
          <w:marLeft w:val="547"/>
          <w:marRight w:val="0"/>
          <w:marTop w:val="86"/>
          <w:marBottom w:val="0"/>
          <w:divBdr>
            <w:top w:val="none" w:sz="0" w:space="0" w:color="auto"/>
            <w:left w:val="none" w:sz="0" w:space="0" w:color="auto"/>
            <w:bottom w:val="none" w:sz="0" w:space="0" w:color="auto"/>
            <w:right w:val="none" w:sz="0" w:space="0" w:color="auto"/>
          </w:divBdr>
        </w:div>
        <w:div w:id="365833963">
          <w:marLeft w:val="547"/>
          <w:marRight w:val="0"/>
          <w:marTop w:val="86"/>
          <w:marBottom w:val="0"/>
          <w:divBdr>
            <w:top w:val="none" w:sz="0" w:space="0" w:color="auto"/>
            <w:left w:val="none" w:sz="0" w:space="0" w:color="auto"/>
            <w:bottom w:val="none" w:sz="0" w:space="0" w:color="auto"/>
            <w:right w:val="none" w:sz="0" w:space="0" w:color="auto"/>
          </w:divBdr>
        </w:div>
        <w:div w:id="707797839">
          <w:marLeft w:val="547"/>
          <w:marRight w:val="0"/>
          <w:marTop w:val="86"/>
          <w:marBottom w:val="0"/>
          <w:divBdr>
            <w:top w:val="none" w:sz="0" w:space="0" w:color="auto"/>
            <w:left w:val="none" w:sz="0" w:space="0" w:color="auto"/>
            <w:bottom w:val="none" w:sz="0" w:space="0" w:color="auto"/>
            <w:right w:val="none" w:sz="0" w:space="0" w:color="auto"/>
          </w:divBdr>
        </w:div>
        <w:div w:id="396631305">
          <w:marLeft w:val="547"/>
          <w:marRight w:val="0"/>
          <w:marTop w:val="86"/>
          <w:marBottom w:val="0"/>
          <w:divBdr>
            <w:top w:val="none" w:sz="0" w:space="0" w:color="auto"/>
            <w:left w:val="none" w:sz="0" w:space="0" w:color="auto"/>
            <w:bottom w:val="none" w:sz="0" w:space="0" w:color="auto"/>
            <w:right w:val="none" w:sz="0" w:space="0" w:color="auto"/>
          </w:divBdr>
        </w:div>
        <w:div w:id="2062972939">
          <w:marLeft w:val="547"/>
          <w:marRight w:val="0"/>
          <w:marTop w:val="86"/>
          <w:marBottom w:val="0"/>
          <w:divBdr>
            <w:top w:val="none" w:sz="0" w:space="0" w:color="auto"/>
            <w:left w:val="none" w:sz="0" w:space="0" w:color="auto"/>
            <w:bottom w:val="none" w:sz="0" w:space="0" w:color="auto"/>
            <w:right w:val="none" w:sz="0" w:space="0" w:color="auto"/>
          </w:divBdr>
        </w:div>
        <w:div w:id="747918205">
          <w:marLeft w:val="547"/>
          <w:marRight w:val="0"/>
          <w:marTop w:val="86"/>
          <w:marBottom w:val="0"/>
          <w:divBdr>
            <w:top w:val="none" w:sz="0" w:space="0" w:color="auto"/>
            <w:left w:val="none" w:sz="0" w:space="0" w:color="auto"/>
            <w:bottom w:val="none" w:sz="0" w:space="0" w:color="auto"/>
            <w:right w:val="none" w:sz="0" w:space="0" w:color="auto"/>
          </w:divBdr>
        </w:div>
      </w:divsChild>
    </w:div>
    <w:div w:id="202363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llum.sayers@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AD"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3.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2913AD54-AFDA-4996-9E54-98CF5B97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4382</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28466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6</cp:revision>
  <cp:lastPrinted>2014-10-31T16:34:00Z</cp:lastPrinted>
  <dcterms:created xsi:type="dcterms:W3CDTF">2021-06-07T09:20:00Z</dcterms:created>
  <dcterms:modified xsi:type="dcterms:W3CDTF">2021-06-07T14:59:00Z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